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5D82E" w14:textId="77777777" w:rsidR="00284AE7" w:rsidRPr="00A90D50" w:rsidRDefault="00284AE7" w:rsidP="00715275">
      <w:pPr>
        <w:pStyle w:val="LGAItemNoHeading"/>
        <w:spacing w:before="0" w:after="0" w:line="240" w:lineRule="auto"/>
        <w:rPr>
          <w:rFonts w:ascii="Arial" w:hAnsi="Arial" w:cs="Arial"/>
          <w:sz w:val="28"/>
          <w:szCs w:val="28"/>
        </w:rPr>
      </w:pPr>
      <w:r w:rsidRPr="00A90D50">
        <w:rPr>
          <w:rFonts w:ascii="Arial" w:hAnsi="Arial" w:cs="Arial"/>
          <w:sz w:val="28"/>
          <w:szCs w:val="28"/>
        </w:rPr>
        <w:t xml:space="preserve">Resources </w:t>
      </w:r>
      <w:r w:rsidR="00406E85" w:rsidRPr="00A90D50">
        <w:rPr>
          <w:rFonts w:ascii="Arial" w:hAnsi="Arial" w:cs="Arial"/>
          <w:sz w:val="28"/>
          <w:szCs w:val="28"/>
        </w:rPr>
        <w:t xml:space="preserve">Board </w:t>
      </w:r>
      <w:r w:rsidRPr="00A90D50">
        <w:rPr>
          <w:rFonts w:ascii="Arial" w:hAnsi="Arial" w:cs="Arial"/>
          <w:sz w:val="28"/>
          <w:szCs w:val="28"/>
        </w:rPr>
        <w:t xml:space="preserve">– report from Cllr </w:t>
      </w:r>
      <w:r w:rsidR="00C42B46" w:rsidRPr="00A90D50">
        <w:rPr>
          <w:rFonts w:ascii="Arial" w:hAnsi="Arial" w:cs="Arial"/>
          <w:sz w:val="28"/>
          <w:szCs w:val="28"/>
        </w:rPr>
        <w:t>Richard Watts</w:t>
      </w:r>
      <w:r w:rsidRPr="00A90D50">
        <w:rPr>
          <w:rFonts w:ascii="Arial" w:hAnsi="Arial" w:cs="Arial"/>
          <w:sz w:val="28"/>
          <w:szCs w:val="28"/>
        </w:rPr>
        <w:t xml:space="preserve"> (Chair)</w:t>
      </w:r>
    </w:p>
    <w:p w14:paraId="62B5D82F" w14:textId="77777777" w:rsidR="000C0076" w:rsidRPr="00A90D50" w:rsidRDefault="000C0076" w:rsidP="00715275">
      <w:pPr>
        <w:pStyle w:val="LGAItemNoHeading"/>
        <w:spacing w:before="0" w:after="0" w:line="240" w:lineRule="auto"/>
        <w:rPr>
          <w:rFonts w:ascii="Arial" w:hAnsi="Arial" w:cs="Arial"/>
          <w:sz w:val="28"/>
          <w:szCs w:val="28"/>
        </w:rPr>
      </w:pPr>
    </w:p>
    <w:p w14:paraId="62B5D830" w14:textId="77777777" w:rsidR="009900BF" w:rsidRPr="00A90D50" w:rsidRDefault="007D4051" w:rsidP="00715275">
      <w:pPr>
        <w:spacing w:after="0" w:line="240" w:lineRule="auto"/>
        <w:rPr>
          <w:b/>
          <w:lang w:val="en-US"/>
        </w:rPr>
      </w:pPr>
      <w:r w:rsidRPr="00A90D50">
        <w:rPr>
          <w:b/>
          <w:lang w:val="en-US"/>
        </w:rPr>
        <w:t>Local Government Finance</w:t>
      </w:r>
    </w:p>
    <w:p w14:paraId="62B5D831" w14:textId="77777777" w:rsidR="00B53469" w:rsidRPr="00A90D50" w:rsidRDefault="00B53469" w:rsidP="00B53469">
      <w:pPr>
        <w:spacing w:after="0" w:line="240" w:lineRule="auto"/>
        <w:jc w:val="both"/>
        <w:rPr>
          <w:rFonts w:eastAsia="Times New Roman"/>
          <w:b/>
        </w:rPr>
      </w:pPr>
    </w:p>
    <w:p w14:paraId="62B5D832" w14:textId="77777777" w:rsidR="00B53469" w:rsidRPr="00433931" w:rsidRDefault="00B53469" w:rsidP="00B53469">
      <w:pPr>
        <w:spacing w:after="0" w:line="240" w:lineRule="auto"/>
        <w:jc w:val="both"/>
        <w:rPr>
          <w:rFonts w:eastAsia="Times New Roman"/>
          <w:b/>
        </w:rPr>
      </w:pPr>
      <w:r w:rsidRPr="00433931">
        <w:rPr>
          <w:rFonts w:eastAsia="Times New Roman"/>
          <w:b/>
        </w:rPr>
        <w:t>Fair Funding Review and Business Rates Retention</w:t>
      </w:r>
    </w:p>
    <w:p w14:paraId="62B5D833" w14:textId="77777777" w:rsidR="00B53469" w:rsidRPr="00A90D50" w:rsidRDefault="00B53469" w:rsidP="00B53469">
      <w:pPr>
        <w:pStyle w:val="ListParagraph"/>
        <w:ind w:left="360"/>
        <w:rPr>
          <w:rFonts w:ascii="Arial" w:hAnsi="Arial" w:cs="Arial"/>
          <w:color w:val="000000"/>
          <w:sz w:val="22"/>
          <w:szCs w:val="22"/>
          <w:lang w:eastAsia="en-US"/>
        </w:rPr>
      </w:pPr>
    </w:p>
    <w:p w14:paraId="62B5D834" w14:textId="77777777" w:rsidR="00B53469" w:rsidRPr="00A90D50" w:rsidRDefault="00B53469" w:rsidP="00B53469">
      <w:pPr>
        <w:pStyle w:val="ListParagraph"/>
        <w:numPr>
          <w:ilvl w:val="0"/>
          <w:numId w:val="11"/>
        </w:numPr>
        <w:jc w:val="both"/>
        <w:rPr>
          <w:rFonts w:ascii="Arial" w:hAnsi="Arial" w:cs="Arial"/>
          <w:sz w:val="22"/>
          <w:szCs w:val="22"/>
          <w:lang w:eastAsia="en-US"/>
        </w:rPr>
      </w:pPr>
      <w:r w:rsidRPr="00A90D50">
        <w:rPr>
          <w:rFonts w:ascii="Arial" w:hAnsi="Arial" w:cs="Arial"/>
          <w:color w:val="000000"/>
          <w:sz w:val="22"/>
          <w:szCs w:val="22"/>
          <w:lang w:eastAsia="en-US"/>
        </w:rPr>
        <w:t xml:space="preserve">We are continuing our work on further Business Rates Retention and the Fair Funding Review in conjunction with MHCLG.  The Business Rates Retention officer working groups on Fair Funding and on Systems Design have both met since the last Councillors Forum. </w:t>
      </w:r>
      <w:r w:rsidRPr="00A90D50">
        <w:rPr>
          <w:rFonts w:ascii="Arial" w:hAnsi="Arial" w:cs="Arial"/>
          <w:sz w:val="22"/>
          <w:szCs w:val="22"/>
        </w:rPr>
        <w:t xml:space="preserve">The Systems Design Working Group considered some MHCLG work on resets, a paper on different ways of incentivising pooling, draft criteria for placing non-domestic properties on either the central or local list, and a paper on implementing the funding of appeals centrally. Resources Board cleared the LGA’s </w:t>
      </w:r>
      <w:hyperlink r:id="rId11" w:history="1">
        <w:r w:rsidRPr="00A90D50">
          <w:rPr>
            <w:rStyle w:val="Hyperlink"/>
            <w:rFonts w:ascii="Arial" w:hAnsi="Arial" w:cs="Arial"/>
            <w:sz w:val="22"/>
            <w:szCs w:val="22"/>
          </w:rPr>
          <w:t>response</w:t>
        </w:r>
      </w:hyperlink>
      <w:r w:rsidRPr="00A90D50">
        <w:rPr>
          <w:rFonts w:ascii="Arial" w:hAnsi="Arial" w:cs="Arial"/>
          <w:sz w:val="22"/>
          <w:szCs w:val="22"/>
        </w:rPr>
        <w:t xml:space="preserve"> to the appeal paper, which was submitted to MHCLG in June. The Fair Funding Review working group considered area cost adjustments, how to deal with transition at implementation and legacy capital finance. These issues will be discussed in further detail at a meeting of the Task and Finish Group on Business Rates Retention and</w:t>
      </w:r>
      <w:r w:rsidR="00473EAD">
        <w:rPr>
          <w:rFonts w:ascii="Arial" w:hAnsi="Arial" w:cs="Arial"/>
          <w:sz w:val="22"/>
          <w:szCs w:val="22"/>
        </w:rPr>
        <w:t xml:space="preserve"> the Fair Funding Review which I Chair in my role as Resources Board Chair and which has further representation from the Board.</w:t>
      </w:r>
    </w:p>
    <w:p w14:paraId="62B5D835" w14:textId="77777777" w:rsidR="00B53469" w:rsidRPr="00A90D50" w:rsidRDefault="00B53469" w:rsidP="00B53469">
      <w:pPr>
        <w:pStyle w:val="ListParagraph"/>
        <w:ind w:left="360"/>
        <w:jc w:val="both"/>
        <w:rPr>
          <w:rFonts w:ascii="Arial" w:hAnsi="Arial" w:cs="Arial"/>
          <w:sz w:val="22"/>
          <w:szCs w:val="22"/>
          <w:lang w:eastAsia="en-US"/>
        </w:rPr>
      </w:pPr>
    </w:p>
    <w:p w14:paraId="62B5D836" w14:textId="77777777" w:rsidR="00B53469" w:rsidRPr="00A90D50" w:rsidRDefault="00B53469" w:rsidP="00B53469">
      <w:pPr>
        <w:pStyle w:val="ListParagraph"/>
        <w:numPr>
          <w:ilvl w:val="0"/>
          <w:numId w:val="11"/>
        </w:numPr>
        <w:jc w:val="both"/>
        <w:rPr>
          <w:rFonts w:ascii="Arial" w:hAnsi="Arial" w:cs="Arial"/>
          <w:sz w:val="22"/>
          <w:szCs w:val="22"/>
        </w:rPr>
      </w:pPr>
      <w:r w:rsidRPr="00A90D50">
        <w:rPr>
          <w:rFonts w:ascii="Arial" w:hAnsi="Arial" w:cs="Arial"/>
          <w:sz w:val="22"/>
          <w:szCs w:val="22"/>
        </w:rPr>
        <w:t xml:space="preserve">As part of the LGA’s work programme on the Fair Funding review, we are launching two tools to help the LGA and member councils evaluate the impact of various Government and stakeholder proposals on their council.  It will also enable member councils </w:t>
      </w:r>
      <w:r w:rsidR="00160E57" w:rsidRPr="00A90D50">
        <w:rPr>
          <w:rFonts w:ascii="Arial" w:hAnsi="Arial" w:cs="Arial"/>
          <w:sz w:val="22"/>
          <w:szCs w:val="22"/>
        </w:rPr>
        <w:t>to</w:t>
      </w:r>
      <w:r w:rsidRPr="00A90D50">
        <w:rPr>
          <w:rFonts w:ascii="Arial" w:hAnsi="Arial" w:cs="Arial"/>
          <w:sz w:val="22"/>
          <w:szCs w:val="22"/>
        </w:rPr>
        <w:t xml:space="preserve"> develop their own proposals by seeing the impact on their own and other authorities. Firstly, a model to allow local authorities to see the impact on funding levels of using different needs formulae, key cost drivers and their weightings and secondly a model to identify the impact of various options for adjusting for council tax and council tax support on individual authorities.</w:t>
      </w:r>
    </w:p>
    <w:p w14:paraId="62B5D837" w14:textId="77777777" w:rsidR="00B53469" w:rsidRPr="00A90D50" w:rsidRDefault="00B53469" w:rsidP="00B53469">
      <w:pPr>
        <w:pStyle w:val="ListParagraph"/>
        <w:ind w:left="360"/>
        <w:jc w:val="both"/>
        <w:rPr>
          <w:rFonts w:ascii="Arial" w:hAnsi="Arial" w:cs="Arial"/>
          <w:sz w:val="22"/>
          <w:szCs w:val="22"/>
          <w:lang w:eastAsia="en-US"/>
        </w:rPr>
      </w:pPr>
    </w:p>
    <w:p w14:paraId="62B5D838" w14:textId="77777777" w:rsidR="00B53469" w:rsidRPr="00A90D50" w:rsidRDefault="00B53469" w:rsidP="00B53469">
      <w:pPr>
        <w:pStyle w:val="ListParagraph"/>
        <w:numPr>
          <w:ilvl w:val="0"/>
          <w:numId w:val="11"/>
        </w:numPr>
        <w:jc w:val="both"/>
        <w:rPr>
          <w:rFonts w:ascii="Arial" w:hAnsi="Arial" w:cs="Arial"/>
          <w:sz w:val="22"/>
          <w:szCs w:val="22"/>
          <w:lang w:eastAsia="en-US"/>
        </w:rPr>
      </w:pPr>
      <w:r w:rsidRPr="00A90D50">
        <w:rPr>
          <w:rFonts w:ascii="Arial" w:hAnsi="Arial" w:cs="Arial"/>
          <w:sz w:val="22"/>
          <w:szCs w:val="22"/>
          <w:lang w:eastAsia="en-US"/>
        </w:rPr>
        <w:t>Further consultations on further Business Rates Retention and the Fair Funding Review are expected from the Government in the autumn.</w:t>
      </w:r>
    </w:p>
    <w:p w14:paraId="62B5D839" w14:textId="77777777" w:rsidR="00B53469" w:rsidRPr="00A90D50" w:rsidRDefault="00B53469" w:rsidP="00B53469">
      <w:pPr>
        <w:pStyle w:val="ListParagraph"/>
        <w:ind w:left="360"/>
        <w:jc w:val="both"/>
        <w:rPr>
          <w:rFonts w:ascii="Arial" w:hAnsi="Arial" w:cs="Arial"/>
          <w:color w:val="000000"/>
          <w:sz w:val="22"/>
          <w:szCs w:val="22"/>
          <w:lang w:eastAsia="en-US"/>
        </w:rPr>
      </w:pPr>
    </w:p>
    <w:p w14:paraId="62B5D83A" w14:textId="77777777" w:rsidR="00B53469" w:rsidRPr="00433931" w:rsidRDefault="00B53469" w:rsidP="00B53469">
      <w:pPr>
        <w:spacing w:after="0" w:line="240" w:lineRule="auto"/>
        <w:jc w:val="both"/>
        <w:rPr>
          <w:rFonts w:eastAsia="Times New Roman"/>
          <w:b/>
        </w:rPr>
      </w:pPr>
      <w:r w:rsidRPr="00433931">
        <w:rPr>
          <w:rFonts w:eastAsia="Times New Roman"/>
          <w:b/>
        </w:rPr>
        <w:t xml:space="preserve">LGA Annual Conference </w:t>
      </w:r>
    </w:p>
    <w:p w14:paraId="62B5D83B" w14:textId="77777777" w:rsidR="00B53469" w:rsidRPr="00A90D50" w:rsidRDefault="00B53469" w:rsidP="00B53469">
      <w:pPr>
        <w:pStyle w:val="ListParagraph"/>
        <w:ind w:left="360"/>
        <w:jc w:val="both"/>
        <w:rPr>
          <w:rFonts w:ascii="Arial" w:eastAsia="Times New Roman" w:hAnsi="Arial" w:cs="Arial"/>
          <w:b/>
          <w:sz w:val="22"/>
          <w:szCs w:val="22"/>
        </w:rPr>
      </w:pPr>
    </w:p>
    <w:p w14:paraId="62B5D83C" w14:textId="77777777" w:rsidR="00B53469" w:rsidRPr="00A90D50" w:rsidRDefault="00B53469" w:rsidP="00B53469">
      <w:pPr>
        <w:pStyle w:val="ListParagraph"/>
        <w:numPr>
          <w:ilvl w:val="0"/>
          <w:numId w:val="11"/>
        </w:numPr>
        <w:jc w:val="both"/>
        <w:rPr>
          <w:rFonts w:ascii="Arial" w:eastAsia="Times New Roman" w:hAnsi="Arial" w:cs="Arial"/>
          <w:sz w:val="22"/>
          <w:szCs w:val="22"/>
        </w:rPr>
      </w:pPr>
      <w:r w:rsidRPr="00A90D50">
        <w:rPr>
          <w:rFonts w:ascii="Arial" w:eastAsia="Times New Roman" w:hAnsi="Arial" w:cs="Arial"/>
          <w:sz w:val="22"/>
          <w:szCs w:val="22"/>
        </w:rPr>
        <w:t>On 3 July, we launched a paper Local Government Funding – Moving the Conversation On. This paper is the beginning of our work on the 2019 Spending Review, which will build the case for long term, sustained investment in local government as well as laying out the positive outcomes this would deliver for the country. This particular paper looked ahead to 2025 and showed that the forecast funding gap will be nearly £8 million per annum by that time.</w:t>
      </w:r>
    </w:p>
    <w:p w14:paraId="62B5D83D" w14:textId="77777777" w:rsidR="00B53469" w:rsidRPr="00A90D50" w:rsidRDefault="00B53469" w:rsidP="00B53469">
      <w:pPr>
        <w:pStyle w:val="ListParagraph"/>
        <w:ind w:left="360"/>
        <w:jc w:val="both"/>
        <w:rPr>
          <w:rFonts w:ascii="Arial" w:eastAsia="Times New Roman" w:hAnsi="Arial" w:cs="Arial"/>
          <w:sz w:val="22"/>
          <w:szCs w:val="22"/>
        </w:rPr>
      </w:pPr>
      <w:r w:rsidRPr="00A90D50">
        <w:rPr>
          <w:rFonts w:ascii="Arial" w:eastAsia="Times New Roman" w:hAnsi="Arial" w:cs="Arial"/>
          <w:sz w:val="22"/>
          <w:szCs w:val="22"/>
        </w:rPr>
        <w:t xml:space="preserve"> </w:t>
      </w:r>
    </w:p>
    <w:p w14:paraId="62B5D83E" w14:textId="77777777" w:rsidR="00B53469" w:rsidRPr="00A90D50" w:rsidRDefault="00B53469" w:rsidP="00B53469">
      <w:pPr>
        <w:pStyle w:val="ListParagraph"/>
        <w:numPr>
          <w:ilvl w:val="0"/>
          <w:numId w:val="11"/>
        </w:numPr>
        <w:jc w:val="both"/>
        <w:rPr>
          <w:rFonts w:ascii="Arial" w:eastAsia="Times New Roman" w:hAnsi="Arial" w:cs="Arial"/>
          <w:sz w:val="22"/>
          <w:szCs w:val="22"/>
        </w:rPr>
      </w:pPr>
      <w:r w:rsidRPr="00A90D50">
        <w:rPr>
          <w:rFonts w:ascii="Arial" w:eastAsia="Times New Roman" w:hAnsi="Arial" w:cs="Arial"/>
          <w:sz w:val="22"/>
          <w:szCs w:val="22"/>
        </w:rPr>
        <w:t>The paper was discussed at the parallel plenary session “At a crossroads – the future for local government funding” where the speakers included the Vice Chair of the Board, Cllr John Fuller and the LGA’s Senior Vice</w:t>
      </w:r>
      <w:r w:rsidR="00223D8C">
        <w:rPr>
          <w:rFonts w:ascii="Arial" w:eastAsia="Times New Roman" w:hAnsi="Arial" w:cs="Arial"/>
          <w:sz w:val="22"/>
          <w:szCs w:val="22"/>
        </w:rPr>
        <w:t>-</w:t>
      </w:r>
      <w:r w:rsidRPr="00A90D50">
        <w:rPr>
          <w:rFonts w:ascii="Arial" w:eastAsia="Times New Roman" w:hAnsi="Arial" w:cs="Arial"/>
          <w:sz w:val="22"/>
          <w:szCs w:val="22"/>
        </w:rPr>
        <w:t>Chair, Cllr Nick Forbes. Although the session was early in the morning on the final day, it was a well-attended session with barely any seats untaken.</w:t>
      </w:r>
    </w:p>
    <w:p w14:paraId="62B5D83F" w14:textId="77777777" w:rsidR="00B53469" w:rsidRPr="00A90D50" w:rsidRDefault="00B53469" w:rsidP="00B53469">
      <w:pPr>
        <w:pStyle w:val="ListParagraph"/>
        <w:ind w:left="360"/>
        <w:jc w:val="both"/>
        <w:rPr>
          <w:rFonts w:ascii="Arial" w:hAnsi="Arial" w:cs="Arial"/>
          <w:color w:val="000000"/>
          <w:sz w:val="22"/>
          <w:szCs w:val="22"/>
          <w:lang w:eastAsia="en-US"/>
        </w:rPr>
      </w:pPr>
    </w:p>
    <w:p w14:paraId="62B5D840" w14:textId="77777777" w:rsidR="00B53469" w:rsidRPr="00433931" w:rsidRDefault="009907AF" w:rsidP="00B53469">
      <w:pPr>
        <w:spacing w:after="0" w:line="240" w:lineRule="auto"/>
        <w:jc w:val="both"/>
        <w:rPr>
          <w:rFonts w:eastAsia="Times New Roman"/>
          <w:b/>
        </w:rPr>
      </w:pPr>
      <w:r w:rsidRPr="00433931">
        <w:rPr>
          <w:rFonts w:eastAsia="Times New Roman"/>
          <w:b/>
        </w:rPr>
        <w:t>Public Accounts Committee R</w:t>
      </w:r>
      <w:r w:rsidR="00B53469" w:rsidRPr="00433931">
        <w:rPr>
          <w:rFonts w:eastAsia="Times New Roman"/>
          <w:b/>
        </w:rPr>
        <w:t xml:space="preserve">eport on </w:t>
      </w:r>
      <w:r w:rsidRPr="00433931">
        <w:rPr>
          <w:rFonts w:eastAsia="Times New Roman"/>
          <w:b/>
        </w:rPr>
        <w:t>L</w:t>
      </w:r>
      <w:r w:rsidR="00B53469" w:rsidRPr="00433931">
        <w:rPr>
          <w:rFonts w:eastAsia="Times New Roman"/>
          <w:b/>
        </w:rPr>
        <w:t xml:space="preserve">ocal </w:t>
      </w:r>
      <w:r w:rsidRPr="00433931">
        <w:rPr>
          <w:rFonts w:eastAsia="Times New Roman"/>
          <w:b/>
        </w:rPr>
        <w:t>A</w:t>
      </w:r>
      <w:r w:rsidR="00B53469" w:rsidRPr="00433931">
        <w:rPr>
          <w:rFonts w:eastAsia="Times New Roman"/>
          <w:b/>
        </w:rPr>
        <w:t xml:space="preserve">uthority </w:t>
      </w:r>
      <w:r w:rsidRPr="00433931">
        <w:rPr>
          <w:rFonts w:eastAsia="Times New Roman"/>
          <w:b/>
        </w:rPr>
        <w:t>F</w:t>
      </w:r>
      <w:r w:rsidR="00B53469" w:rsidRPr="00433931">
        <w:rPr>
          <w:rFonts w:eastAsia="Times New Roman"/>
          <w:b/>
        </w:rPr>
        <w:t xml:space="preserve">inancial </w:t>
      </w:r>
      <w:r w:rsidRPr="00433931">
        <w:rPr>
          <w:rFonts w:eastAsia="Times New Roman"/>
          <w:b/>
        </w:rPr>
        <w:t>S</w:t>
      </w:r>
      <w:r w:rsidR="00B53469" w:rsidRPr="00433931">
        <w:rPr>
          <w:rFonts w:eastAsia="Times New Roman"/>
          <w:b/>
        </w:rPr>
        <w:t xml:space="preserve">ustainability </w:t>
      </w:r>
    </w:p>
    <w:p w14:paraId="62B5D841" w14:textId="77777777" w:rsidR="00B53469" w:rsidRPr="00A90D50" w:rsidRDefault="00B53469" w:rsidP="00B53469">
      <w:pPr>
        <w:pStyle w:val="ListParagraph"/>
        <w:ind w:left="360"/>
        <w:jc w:val="both"/>
        <w:rPr>
          <w:rFonts w:ascii="Arial" w:eastAsia="Times New Roman" w:hAnsi="Arial" w:cs="Arial"/>
          <w:b/>
          <w:sz w:val="22"/>
          <w:szCs w:val="22"/>
        </w:rPr>
      </w:pPr>
    </w:p>
    <w:p w14:paraId="62B5D842" w14:textId="77777777" w:rsidR="00B53469" w:rsidRPr="00A90D50" w:rsidRDefault="00B53469" w:rsidP="0032721D">
      <w:pPr>
        <w:pStyle w:val="ListParagraph"/>
        <w:numPr>
          <w:ilvl w:val="0"/>
          <w:numId w:val="11"/>
        </w:numPr>
        <w:jc w:val="both"/>
        <w:rPr>
          <w:rFonts w:ascii="Arial" w:eastAsia="Times New Roman" w:hAnsi="Arial" w:cs="Arial"/>
          <w:sz w:val="22"/>
          <w:szCs w:val="22"/>
        </w:rPr>
      </w:pPr>
      <w:r w:rsidRPr="00A90D50">
        <w:rPr>
          <w:rFonts w:ascii="Arial" w:eastAsia="Times New Roman" w:hAnsi="Arial" w:cs="Arial"/>
          <w:sz w:val="22"/>
          <w:szCs w:val="22"/>
        </w:rPr>
        <w:t xml:space="preserve">The House of Commons Public Accounts Committee published the report of its inquiry into local authority financial sustainability. The LGA submitted written evidence to this inquiry and the LGA’s Chief executive, Mark Lloyd, appeared as a witness in May. The report reflects a number of the points made by the LGA including recognition of the significant funding pressures and huge financial uncertainty facing all councils and acceptance of the LGA’s funding gap analysis to 2020 that was the latest available at the time of the inquiry .The report also highlighted the </w:t>
      </w:r>
      <w:r w:rsidRPr="00A90D50">
        <w:rPr>
          <w:rFonts w:ascii="Arial" w:eastAsia="Times New Roman" w:hAnsi="Arial" w:cs="Arial"/>
          <w:sz w:val="22"/>
          <w:szCs w:val="22"/>
        </w:rPr>
        <w:lastRenderedPageBreak/>
        <w:t>need for a long-term solution to the adult social care funding crisis with long-term funding for the NHS needing to be matched by a significant investment in adult social care and public health services.</w:t>
      </w:r>
    </w:p>
    <w:p w14:paraId="62B5D843" w14:textId="77777777" w:rsidR="009907AF" w:rsidRPr="00A90D50" w:rsidRDefault="009907AF" w:rsidP="0032721D">
      <w:pPr>
        <w:spacing w:after="0" w:line="240" w:lineRule="auto"/>
        <w:jc w:val="both"/>
        <w:rPr>
          <w:color w:val="000000"/>
        </w:rPr>
      </w:pPr>
    </w:p>
    <w:p w14:paraId="62B5D844" w14:textId="77777777" w:rsidR="00B90687" w:rsidRPr="00A90D50" w:rsidRDefault="00B90687" w:rsidP="00B90687">
      <w:pPr>
        <w:jc w:val="both"/>
        <w:rPr>
          <w:rFonts w:eastAsia="Times New Roman"/>
          <w:b/>
        </w:rPr>
      </w:pPr>
      <w:r w:rsidRPr="00A90D50">
        <w:rPr>
          <w:rFonts w:eastAsia="Times New Roman"/>
          <w:b/>
        </w:rPr>
        <w:t>Insurance Mutual</w:t>
      </w:r>
    </w:p>
    <w:p w14:paraId="62B5D845" w14:textId="77777777" w:rsidR="00C42B46" w:rsidRPr="00A90D50" w:rsidRDefault="00C42B46" w:rsidP="00A90D50">
      <w:pPr>
        <w:pStyle w:val="ListParagraph"/>
        <w:numPr>
          <w:ilvl w:val="0"/>
          <w:numId w:val="11"/>
        </w:numPr>
        <w:rPr>
          <w:rFonts w:ascii="Arial" w:eastAsia="Times New Roman" w:hAnsi="Arial" w:cs="Arial"/>
          <w:color w:val="000000"/>
          <w:sz w:val="22"/>
          <w:szCs w:val="22"/>
        </w:rPr>
      </w:pPr>
      <w:r w:rsidRPr="00A90D50">
        <w:rPr>
          <w:rFonts w:ascii="Arial" w:eastAsia="Times New Roman" w:hAnsi="Arial" w:cs="Arial"/>
          <w:color w:val="000000"/>
          <w:sz w:val="22"/>
          <w:szCs w:val="22"/>
        </w:rPr>
        <w:t>The new mutual company was incorporated by the LGA on 1 May 2018 as LGAM Limited. Ian Rogers (Chief Actuary at Government’s Actuary Department) and Brian Roberts (Former CIPFA President) are directors. James Alexander is company secretary. </w:t>
      </w:r>
      <w:r w:rsidRPr="00A90D50">
        <w:rPr>
          <w:rFonts w:ascii="Arial" w:eastAsia="Times New Roman" w:hAnsi="Arial" w:cs="Arial"/>
          <w:color w:val="000000"/>
          <w:sz w:val="22"/>
          <w:szCs w:val="22"/>
        </w:rPr>
        <w:br/>
      </w:r>
    </w:p>
    <w:p w14:paraId="62B5D846" w14:textId="77777777" w:rsidR="00C42B46" w:rsidRPr="00A90D50" w:rsidRDefault="00C42B46" w:rsidP="00A90D50">
      <w:pPr>
        <w:pStyle w:val="ListParagraph"/>
        <w:numPr>
          <w:ilvl w:val="0"/>
          <w:numId w:val="11"/>
        </w:numPr>
        <w:rPr>
          <w:rFonts w:ascii="Arial" w:eastAsia="Times New Roman" w:hAnsi="Arial" w:cs="Arial"/>
          <w:sz w:val="22"/>
          <w:szCs w:val="22"/>
        </w:rPr>
      </w:pPr>
      <w:r w:rsidRPr="00A90D50">
        <w:rPr>
          <w:rFonts w:ascii="Arial" w:eastAsia="Times New Roman" w:hAnsi="Arial" w:cs="Arial"/>
          <w:color w:val="000000"/>
          <w:sz w:val="22"/>
          <w:szCs w:val="22"/>
        </w:rPr>
        <w:t xml:space="preserve">The mutual is now appointing a service provider to provide professional support including business development, underwriting and a range of other work to prepare to open for business. The proposed hybrid-discretionary mutual structure learns from previous attempts at </w:t>
      </w:r>
      <w:proofErr w:type="spellStart"/>
      <w:r w:rsidRPr="00A90D50">
        <w:rPr>
          <w:rFonts w:ascii="Arial" w:eastAsia="Times New Roman" w:hAnsi="Arial" w:cs="Arial"/>
          <w:color w:val="000000"/>
          <w:sz w:val="22"/>
          <w:szCs w:val="22"/>
        </w:rPr>
        <w:t>mutuals</w:t>
      </w:r>
      <w:proofErr w:type="spellEnd"/>
      <w:r w:rsidRPr="00A90D50">
        <w:rPr>
          <w:rFonts w:ascii="Arial" w:eastAsia="Times New Roman" w:hAnsi="Arial" w:cs="Arial"/>
          <w:color w:val="000000"/>
          <w:sz w:val="22"/>
          <w:szCs w:val="22"/>
        </w:rPr>
        <w:t xml:space="preserve"> entering this market. The structure ensures the exposure of the mutual is capped. This removes the possibility of future calls on money which has been a character of MMI's demise. Such a structure is used by a number of </w:t>
      </w:r>
      <w:proofErr w:type="spellStart"/>
      <w:r w:rsidR="00BF75A6" w:rsidRPr="00A90D50">
        <w:rPr>
          <w:rFonts w:ascii="Arial" w:eastAsia="Times New Roman" w:hAnsi="Arial" w:cs="Arial"/>
          <w:color w:val="000000"/>
          <w:sz w:val="22"/>
          <w:szCs w:val="22"/>
        </w:rPr>
        <w:t>mutuals</w:t>
      </w:r>
      <w:proofErr w:type="spellEnd"/>
      <w:r w:rsidR="00BF75A6" w:rsidRPr="00A90D50">
        <w:rPr>
          <w:rFonts w:ascii="Arial" w:eastAsia="Times New Roman" w:hAnsi="Arial" w:cs="Arial"/>
          <w:color w:val="000000"/>
          <w:sz w:val="22"/>
          <w:szCs w:val="22"/>
        </w:rPr>
        <w:t>,</w:t>
      </w:r>
      <w:r w:rsidRPr="00A90D50">
        <w:rPr>
          <w:rFonts w:ascii="Arial" w:eastAsia="Times New Roman" w:hAnsi="Arial" w:cs="Arial"/>
          <w:color w:val="000000"/>
          <w:sz w:val="22"/>
          <w:szCs w:val="22"/>
        </w:rPr>
        <w:t xml:space="preserve"> including the Fire and Rescue Indemnity Company and local government internationally.</w:t>
      </w:r>
    </w:p>
    <w:p w14:paraId="62B5D847" w14:textId="77777777" w:rsidR="00C42B46" w:rsidRPr="00A90D50" w:rsidRDefault="00C42B46" w:rsidP="00C42B46">
      <w:pPr>
        <w:spacing w:after="0" w:line="240" w:lineRule="auto"/>
        <w:rPr>
          <w:rFonts w:eastAsia="Times New Roman"/>
        </w:rPr>
      </w:pPr>
    </w:p>
    <w:p w14:paraId="62B5D848" w14:textId="77777777" w:rsidR="00B90687" w:rsidRPr="00A90D50" w:rsidRDefault="00C42B46" w:rsidP="00A90D50">
      <w:pPr>
        <w:pStyle w:val="ListParagraph"/>
        <w:numPr>
          <w:ilvl w:val="0"/>
          <w:numId w:val="11"/>
        </w:numPr>
        <w:rPr>
          <w:rFonts w:ascii="Arial" w:eastAsia="Times New Roman" w:hAnsi="Arial" w:cs="Arial"/>
          <w:b/>
          <w:sz w:val="22"/>
          <w:szCs w:val="22"/>
        </w:rPr>
      </w:pPr>
      <w:r w:rsidRPr="00A90D50">
        <w:rPr>
          <w:rFonts w:ascii="Arial" w:eastAsia="Times New Roman" w:hAnsi="Arial" w:cs="Arial"/>
          <w:color w:val="000000"/>
          <w:sz w:val="22"/>
          <w:szCs w:val="22"/>
        </w:rPr>
        <w:t>There will be an information day held at the LGA </w:t>
      </w:r>
      <w:hyperlink r:id="rId12" w:history="1">
        <w:r w:rsidRPr="00A90D50">
          <w:rPr>
            <w:rStyle w:val="Hyperlink"/>
            <w:rFonts w:ascii="Arial" w:eastAsia="Times New Roman" w:hAnsi="Arial" w:cs="Arial"/>
            <w:sz w:val="22"/>
            <w:szCs w:val="22"/>
          </w:rPr>
          <w:t>on 6 September</w:t>
        </w:r>
      </w:hyperlink>
      <w:r w:rsidRPr="00A90D50">
        <w:rPr>
          <w:rFonts w:ascii="Arial" w:eastAsia="Times New Roman" w:hAnsi="Arial" w:cs="Arial"/>
          <w:color w:val="000000"/>
          <w:sz w:val="22"/>
          <w:szCs w:val="22"/>
        </w:rPr>
        <w:t> which will be open to all LGA member local authorities to attend. Politicians and officers are encouraged to attend. Details for sign up can be found on the LGA website.</w:t>
      </w:r>
      <w:r w:rsidRPr="00A90D50">
        <w:rPr>
          <w:rFonts w:ascii="Arial" w:eastAsia="Times New Roman" w:hAnsi="Arial" w:cs="Arial"/>
          <w:color w:val="000000"/>
          <w:sz w:val="22"/>
          <w:szCs w:val="22"/>
        </w:rPr>
        <w:br/>
      </w:r>
    </w:p>
    <w:p w14:paraId="62B5D849" w14:textId="77777777" w:rsidR="00B90687" w:rsidRPr="00A90D50" w:rsidRDefault="00B90687" w:rsidP="00B90687">
      <w:pPr>
        <w:spacing w:after="0" w:line="240" w:lineRule="auto"/>
        <w:rPr>
          <w:rFonts w:eastAsia="Times New Roman"/>
          <w:b/>
          <w:lang w:eastAsia="en-GB"/>
        </w:rPr>
      </w:pPr>
      <w:r w:rsidRPr="00A90D50">
        <w:rPr>
          <w:rFonts w:eastAsia="Times New Roman"/>
          <w:b/>
          <w:lang w:eastAsia="en-GB"/>
        </w:rPr>
        <w:t>EU Funding</w:t>
      </w:r>
    </w:p>
    <w:p w14:paraId="62B5D84A" w14:textId="77777777" w:rsidR="00B90687" w:rsidRPr="00A90D50" w:rsidRDefault="00B90687" w:rsidP="00B90687">
      <w:pPr>
        <w:spacing w:after="0" w:line="240" w:lineRule="auto"/>
        <w:rPr>
          <w:rFonts w:eastAsia="Times New Roman"/>
          <w:b/>
          <w:lang w:eastAsia="en-GB"/>
        </w:rPr>
      </w:pPr>
    </w:p>
    <w:p w14:paraId="62B5D84B" w14:textId="77777777" w:rsidR="00C42B46" w:rsidRPr="00A90D50" w:rsidRDefault="00C42B46" w:rsidP="00A90D50">
      <w:pPr>
        <w:pStyle w:val="ListParagraph"/>
        <w:numPr>
          <w:ilvl w:val="0"/>
          <w:numId w:val="11"/>
        </w:numPr>
        <w:rPr>
          <w:rFonts w:ascii="Arial" w:eastAsia="Times New Roman" w:hAnsi="Arial" w:cs="Arial"/>
          <w:sz w:val="22"/>
          <w:szCs w:val="22"/>
        </w:rPr>
      </w:pPr>
      <w:r w:rsidRPr="00A90D50">
        <w:rPr>
          <w:rStyle w:val="s17"/>
          <w:rFonts w:ascii="Arial" w:eastAsia="Times New Roman" w:hAnsi="Arial" w:cs="Arial"/>
          <w:sz w:val="22"/>
          <w:szCs w:val="22"/>
        </w:rPr>
        <w:t>To date we are still awaiting details on how, or when, the Governments UK Shared Prosperity Fund (UKSPF) will be administered, the allocation principles, or the overall quantum of funding.  A period of pre-consultation is being run through regional roundtables until September, which we will be providing support to councils who are invited. The government will hold a major consultation is expected later this year.  The LGA is pressing Government to provide clarity of the detail of UKSPF to best equip local areas following the UK exiting the European Union. More details can be at the </w:t>
      </w:r>
      <w:hyperlink r:id="rId13" w:history="1">
        <w:r w:rsidRPr="00A90D50">
          <w:rPr>
            <w:rStyle w:val="Hyperlink"/>
            <w:rFonts w:ascii="Arial" w:eastAsia="Times New Roman" w:hAnsi="Arial" w:cs="Arial"/>
            <w:sz w:val="22"/>
            <w:szCs w:val="22"/>
          </w:rPr>
          <w:t>Beyond Brexit discussion document</w:t>
        </w:r>
      </w:hyperlink>
      <w:r w:rsidRPr="00A90D50">
        <w:rPr>
          <w:rStyle w:val="s23"/>
          <w:rFonts w:ascii="Arial" w:eastAsia="Times New Roman" w:hAnsi="Arial" w:cs="Arial"/>
          <w:sz w:val="22"/>
          <w:szCs w:val="22"/>
        </w:rPr>
        <w:t xml:space="preserve"> and our Moving the Conversation On </w:t>
      </w:r>
      <w:hyperlink r:id="rId14" w:history="1">
        <w:r w:rsidRPr="00A90D50">
          <w:rPr>
            <w:rStyle w:val="Hyperlink"/>
            <w:rFonts w:ascii="Arial" w:eastAsia="Times New Roman" w:hAnsi="Arial" w:cs="Arial"/>
            <w:sz w:val="22"/>
            <w:szCs w:val="22"/>
          </w:rPr>
          <w:t>Brexit Conference Report</w:t>
        </w:r>
      </w:hyperlink>
      <w:r w:rsidRPr="00A90D50">
        <w:rPr>
          <w:rStyle w:val="s17"/>
          <w:rFonts w:ascii="Arial" w:eastAsia="Times New Roman" w:hAnsi="Arial" w:cs="Arial"/>
          <w:sz w:val="22"/>
          <w:szCs w:val="22"/>
        </w:rPr>
        <w:t>.</w:t>
      </w:r>
    </w:p>
    <w:p w14:paraId="62B5D84C" w14:textId="77777777" w:rsidR="008243AD" w:rsidRPr="00A90D50" w:rsidRDefault="008243AD" w:rsidP="008243AD">
      <w:pPr>
        <w:spacing w:after="0" w:line="240" w:lineRule="auto"/>
      </w:pPr>
    </w:p>
    <w:p w14:paraId="62B5D84D" w14:textId="77777777" w:rsidR="008243AD" w:rsidRPr="00A90D50" w:rsidRDefault="008243AD" w:rsidP="008243AD">
      <w:pPr>
        <w:spacing w:after="0" w:line="240" w:lineRule="auto"/>
        <w:rPr>
          <w:b/>
          <w:bCs/>
        </w:rPr>
      </w:pPr>
      <w:r w:rsidRPr="00A90D50">
        <w:rPr>
          <w:b/>
          <w:bCs/>
        </w:rPr>
        <w:t xml:space="preserve">Workforce </w:t>
      </w:r>
    </w:p>
    <w:p w14:paraId="62B5D84E" w14:textId="77777777" w:rsidR="00430CC6" w:rsidRPr="00A90D50" w:rsidRDefault="00430CC6" w:rsidP="008243AD">
      <w:pPr>
        <w:spacing w:after="0" w:line="240" w:lineRule="auto"/>
        <w:rPr>
          <w:b/>
          <w:bCs/>
        </w:rPr>
      </w:pPr>
    </w:p>
    <w:p w14:paraId="62B5D84F" w14:textId="77777777" w:rsidR="00430CC6" w:rsidRPr="00433931" w:rsidRDefault="00430CC6" w:rsidP="008243AD">
      <w:pPr>
        <w:spacing w:after="0" w:line="240" w:lineRule="auto"/>
        <w:rPr>
          <w:b/>
          <w:bCs/>
        </w:rPr>
      </w:pPr>
      <w:r w:rsidRPr="00433931">
        <w:rPr>
          <w:b/>
          <w:bCs/>
        </w:rPr>
        <w:t>Pay Negotiations</w:t>
      </w:r>
    </w:p>
    <w:p w14:paraId="62B5D850" w14:textId="77777777" w:rsidR="00430CC6" w:rsidRPr="00A90D50" w:rsidRDefault="00430CC6" w:rsidP="00430CC6">
      <w:pPr>
        <w:spacing w:after="0" w:line="240" w:lineRule="auto"/>
      </w:pPr>
    </w:p>
    <w:p w14:paraId="62B5D851" w14:textId="77777777" w:rsidR="00430CC6" w:rsidRPr="00A90D50" w:rsidRDefault="00430CC6" w:rsidP="00A90D50">
      <w:pPr>
        <w:pStyle w:val="ListParagraph"/>
        <w:numPr>
          <w:ilvl w:val="0"/>
          <w:numId w:val="11"/>
        </w:numPr>
        <w:rPr>
          <w:rFonts w:ascii="Arial" w:hAnsi="Arial" w:cs="Arial"/>
          <w:sz w:val="22"/>
          <w:szCs w:val="22"/>
        </w:rPr>
      </w:pPr>
      <w:r w:rsidRPr="00A90D50">
        <w:rPr>
          <w:rFonts w:ascii="Arial" w:hAnsi="Arial" w:cs="Arial"/>
          <w:sz w:val="22"/>
          <w:szCs w:val="22"/>
        </w:rPr>
        <w:t>Two-year pay awards of 2</w:t>
      </w:r>
      <w:r w:rsidR="0091107F" w:rsidRPr="00A90D50">
        <w:rPr>
          <w:rFonts w:ascii="Arial" w:hAnsi="Arial" w:cs="Arial"/>
          <w:sz w:val="22"/>
          <w:szCs w:val="22"/>
        </w:rPr>
        <w:t xml:space="preserve"> per cent</w:t>
      </w:r>
      <w:r w:rsidRPr="00A90D50">
        <w:rPr>
          <w:rFonts w:ascii="Arial" w:hAnsi="Arial" w:cs="Arial"/>
          <w:sz w:val="22"/>
          <w:szCs w:val="22"/>
        </w:rPr>
        <w:t xml:space="preserve"> and 2</w:t>
      </w:r>
      <w:r w:rsidR="0091107F" w:rsidRPr="00A90D50">
        <w:rPr>
          <w:rFonts w:ascii="Arial" w:hAnsi="Arial" w:cs="Arial"/>
          <w:sz w:val="22"/>
          <w:szCs w:val="22"/>
        </w:rPr>
        <w:t xml:space="preserve"> per cent</w:t>
      </w:r>
      <w:r w:rsidRPr="00A90D50">
        <w:rPr>
          <w:rFonts w:ascii="Arial" w:hAnsi="Arial" w:cs="Arial"/>
          <w:sz w:val="22"/>
          <w:szCs w:val="22"/>
        </w:rPr>
        <w:t xml:space="preserve"> have been recently agreed for Chief Executives and </w:t>
      </w:r>
      <w:proofErr w:type="spellStart"/>
      <w:r w:rsidRPr="00A90D50">
        <w:rPr>
          <w:rFonts w:ascii="Arial" w:hAnsi="Arial" w:cs="Arial"/>
          <w:sz w:val="22"/>
          <w:szCs w:val="22"/>
        </w:rPr>
        <w:t>Craftworkers</w:t>
      </w:r>
      <w:proofErr w:type="spellEnd"/>
      <w:r w:rsidRPr="00A90D50">
        <w:rPr>
          <w:rFonts w:ascii="Arial" w:hAnsi="Arial" w:cs="Arial"/>
          <w:sz w:val="22"/>
          <w:szCs w:val="22"/>
        </w:rPr>
        <w:t xml:space="preserve">. </w:t>
      </w:r>
      <w:r w:rsidR="0091107F" w:rsidRPr="00A90D50">
        <w:rPr>
          <w:rFonts w:ascii="Arial" w:hAnsi="Arial" w:cs="Arial"/>
          <w:sz w:val="22"/>
          <w:szCs w:val="22"/>
        </w:rPr>
        <w:t>T</w:t>
      </w:r>
      <w:r w:rsidRPr="00A90D50">
        <w:rPr>
          <w:rFonts w:ascii="Arial" w:hAnsi="Arial" w:cs="Arial"/>
          <w:sz w:val="22"/>
          <w:szCs w:val="22"/>
        </w:rPr>
        <w:t>he outcome of the unions’ consultation of Chief Officers on the Employers’ two-year offer of 2</w:t>
      </w:r>
      <w:r w:rsidR="0091107F" w:rsidRPr="00A90D50">
        <w:rPr>
          <w:rFonts w:ascii="Arial" w:hAnsi="Arial" w:cs="Arial"/>
          <w:sz w:val="22"/>
          <w:szCs w:val="22"/>
        </w:rPr>
        <w:t xml:space="preserve"> per cent</w:t>
      </w:r>
      <w:r w:rsidRPr="00A90D50">
        <w:rPr>
          <w:rFonts w:ascii="Arial" w:hAnsi="Arial" w:cs="Arial"/>
          <w:sz w:val="22"/>
          <w:szCs w:val="22"/>
        </w:rPr>
        <w:t xml:space="preserve"> and 2</w:t>
      </w:r>
      <w:r w:rsidR="0091107F" w:rsidRPr="00A90D50">
        <w:rPr>
          <w:rFonts w:ascii="Arial" w:hAnsi="Arial" w:cs="Arial"/>
          <w:sz w:val="22"/>
          <w:szCs w:val="22"/>
        </w:rPr>
        <w:t xml:space="preserve"> per cent is expected shortly.</w:t>
      </w:r>
    </w:p>
    <w:p w14:paraId="62B5D852" w14:textId="77777777" w:rsidR="00430CC6" w:rsidRPr="00A90D50" w:rsidRDefault="00430CC6" w:rsidP="00430CC6">
      <w:pPr>
        <w:pStyle w:val="ListParagraph"/>
        <w:ind w:left="360"/>
        <w:rPr>
          <w:rFonts w:ascii="Arial" w:hAnsi="Arial" w:cs="Arial"/>
          <w:sz w:val="22"/>
          <w:szCs w:val="22"/>
        </w:rPr>
      </w:pPr>
    </w:p>
    <w:p w14:paraId="62B5D853" w14:textId="77777777" w:rsidR="00430CC6" w:rsidRPr="00A90D50" w:rsidRDefault="00430CC6" w:rsidP="00A90D50">
      <w:pPr>
        <w:pStyle w:val="ListParagraph"/>
        <w:numPr>
          <w:ilvl w:val="0"/>
          <w:numId w:val="11"/>
        </w:numPr>
        <w:rPr>
          <w:rFonts w:ascii="Arial" w:hAnsi="Arial" w:cs="Arial"/>
          <w:sz w:val="22"/>
          <w:szCs w:val="22"/>
        </w:rPr>
      </w:pPr>
      <w:r w:rsidRPr="00A90D50">
        <w:rPr>
          <w:rFonts w:ascii="Arial" w:hAnsi="Arial" w:cs="Arial"/>
          <w:sz w:val="22"/>
          <w:szCs w:val="22"/>
        </w:rPr>
        <w:t>The LGA’s Workforce Team and local government unions have issued joint advice to councils on issues related to moving employees on to the new pay spine next April.</w:t>
      </w:r>
    </w:p>
    <w:p w14:paraId="62B5D854" w14:textId="77777777" w:rsidR="00430CC6" w:rsidRPr="00A90D50" w:rsidRDefault="00430CC6" w:rsidP="00430CC6">
      <w:pPr>
        <w:spacing w:after="0" w:line="240" w:lineRule="auto"/>
        <w:rPr>
          <w:bCs/>
          <w:u w:val="single"/>
        </w:rPr>
      </w:pPr>
    </w:p>
    <w:p w14:paraId="62B5D855" w14:textId="77777777" w:rsidR="00430CC6" w:rsidRPr="00433931" w:rsidRDefault="00430CC6" w:rsidP="00430CC6">
      <w:pPr>
        <w:spacing w:after="0" w:line="240" w:lineRule="auto"/>
        <w:rPr>
          <w:b/>
          <w:bCs/>
        </w:rPr>
      </w:pPr>
      <w:r w:rsidRPr="00433931">
        <w:rPr>
          <w:b/>
          <w:bCs/>
        </w:rPr>
        <w:t>Apprenticeships (Levy)</w:t>
      </w:r>
    </w:p>
    <w:p w14:paraId="62B5D856" w14:textId="77777777" w:rsidR="00430CC6" w:rsidRPr="00A90D50" w:rsidRDefault="00430CC6" w:rsidP="00430CC6">
      <w:pPr>
        <w:spacing w:after="0" w:line="240" w:lineRule="auto"/>
        <w:rPr>
          <w:b/>
          <w:bCs/>
        </w:rPr>
      </w:pPr>
    </w:p>
    <w:p w14:paraId="62B5D857" w14:textId="77777777" w:rsidR="00430CC6" w:rsidRPr="00A90D50" w:rsidRDefault="00430CC6" w:rsidP="00A90D50">
      <w:pPr>
        <w:pStyle w:val="ListParagraph"/>
        <w:numPr>
          <w:ilvl w:val="0"/>
          <w:numId w:val="11"/>
        </w:numPr>
        <w:rPr>
          <w:rFonts w:ascii="Arial" w:hAnsi="Arial" w:cs="Arial"/>
          <w:sz w:val="22"/>
          <w:szCs w:val="22"/>
        </w:rPr>
      </w:pPr>
      <w:r w:rsidRPr="00A90D50">
        <w:rPr>
          <w:rFonts w:ascii="Arial" w:hAnsi="Arial" w:cs="Arial"/>
          <w:sz w:val="22"/>
          <w:szCs w:val="22"/>
        </w:rPr>
        <w:t>The LGA continues to provide a national programme to help councils get the best return on the their levy investment. With councils facing a need to invest £207</w:t>
      </w:r>
      <w:r w:rsidR="0091107F" w:rsidRPr="00A90D50">
        <w:rPr>
          <w:rFonts w:ascii="Arial" w:hAnsi="Arial" w:cs="Arial"/>
          <w:sz w:val="22"/>
          <w:szCs w:val="22"/>
        </w:rPr>
        <w:t xml:space="preserve"> </w:t>
      </w:r>
      <w:r w:rsidRPr="00A90D50">
        <w:rPr>
          <w:rFonts w:ascii="Arial" w:hAnsi="Arial" w:cs="Arial"/>
          <w:sz w:val="22"/>
          <w:szCs w:val="22"/>
        </w:rPr>
        <w:t>m</w:t>
      </w:r>
      <w:r w:rsidR="0091107F" w:rsidRPr="00A90D50">
        <w:rPr>
          <w:rFonts w:ascii="Arial" w:hAnsi="Arial" w:cs="Arial"/>
          <w:sz w:val="22"/>
          <w:szCs w:val="22"/>
        </w:rPr>
        <w:t>illion</w:t>
      </w:r>
      <w:r w:rsidRPr="00A90D50">
        <w:rPr>
          <w:rFonts w:ascii="Arial" w:hAnsi="Arial" w:cs="Arial"/>
          <w:sz w:val="22"/>
          <w:szCs w:val="22"/>
        </w:rPr>
        <w:t xml:space="preserve"> in Apprenticeship training every year or lose the money to HMT (if it's not spent within 24 months) the LGA launched a support programme to help those councils in need of help. The programme offers up to 20 councils with onsite advice and guidance to improve workforce development and apprenticeship levy investment plans. LGA received 34 requests from councils for support in </w:t>
      </w:r>
      <w:r w:rsidRPr="00A90D50">
        <w:rPr>
          <w:rFonts w:ascii="Arial" w:hAnsi="Arial" w:cs="Arial"/>
          <w:sz w:val="22"/>
          <w:szCs w:val="22"/>
        </w:rPr>
        <w:lastRenderedPageBreak/>
        <w:t xml:space="preserve">June. The </w:t>
      </w:r>
      <w:hyperlink r:id="rId15" w:history="1">
        <w:r w:rsidRPr="00A90D50">
          <w:rPr>
            <w:rStyle w:val="Hyperlink"/>
            <w:rFonts w:ascii="Arial" w:hAnsi="Arial" w:cs="Arial"/>
            <w:sz w:val="22"/>
            <w:szCs w:val="22"/>
          </w:rPr>
          <w:t>support programme</w:t>
        </w:r>
      </w:hyperlink>
      <w:r w:rsidRPr="00A90D50">
        <w:rPr>
          <w:rFonts w:ascii="Arial" w:hAnsi="Arial" w:cs="Arial"/>
          <w:sz w:val="22"/>
          <w:szCs w:val="22"/>
        </w:rPr>
        <w:t xml:space="preserve"> runs from August to January and all 34 councils will receive support.  </w:t>
      </w:r>
    </w:p>
    <w:p w14:paraId="62B5D858" w14:textId="77777777" w:rsidR="00430CC6" w:rsidRPr="00A90D50" w:rsidRDefault="00430CC6" w:rsidP="008243AD">
      <w:pPr>
        <w:spacing w:after="0" w:line="240" w:lineRule="auto"/>
        <w:rPr>
          <w:bCs/>
          <w:u w:val="single"/>
        </w:rPr>
      </w:pPr>
    </w:p>
    <w:p w14:paraId="62B5D859" w14:textId="77777777" w:rsidR="00430CC6" w:rsidRDefault="000A6813" w:rsidP="000A6813">
      <w:pPr>
        <w:spacing w:after="0" w:line="240" w:lineRule="auto"/>
        <w:rPr>
          <w:b/>
          <w:bCs/>
          <w:u w:val="single"/>
        </w:rPr>
      </w:pPr>
      <w:r>
        <w:rPr>
          <w:b/>
          <w:bCs/>
          <w:u w:val="single"/>
        </w:rPr>
        <w:t xml:space="preserve">Welfare </w:t>
      </w:r>
    </w:p>
    <w:p w14:paraId="62B5D85A" w14:textId="77777777" w:rsidR="000A6813" w:rsidRDefault="000A6813" w:rsidP="000A6813">
      <w:pPr>
        <w:spacing w:after="0" w:line="240" w:lineRule="auto"/>
        <w:rPr>
          <w:bCs/>
          <w:u w:val="single"/>
        </w:rPr>
      </w:pPr>
    </w:p>
    <w:p w14:paraId="62B5D85B" w14:textId="77777777" w:rsidR="000A6813" w:rsidRPr="00433931" w:rsidRDefault="000A6813" w:rsidP="000A6813">
      <w:pPr>
        <w:spacing w:after="0" w:line="240" w:lineRule="auto"/>
        <w:rPr>
          <w:b/>
          <w:bCs/>
        </w:rPr>
      </w:pPr>
      <w:r w:rsidRPr="00433931">
        <w:rPr>
          <w:b/>
          <w:bCs/>
        </w:rPr>
        <w:t xml:space="preserve">LGA Evidence on Universal Credit </w:t>
      </w:r>
    </w:p>
    <w:p w14:paraId="62B5D85C" w14:textId="77777777" w:rsidR="000A6813" w:rsidRPr="000A6813" w:rsidRDefault="000A6813" w:rsidP="000A6813">
      <w:pPr>
        <w:spacing w:after="0" w:line="240" w:lineRule="auto"/>
        <w:rPr>
          <w:bCs/>
          <w:u w:val="single"/>
        </w:rPr>
      </w:pPr>
    </w:p>
    <w:p w14:paraId="62B5D85D" w14:textId="77777777" w:rsidR="000A6813" w:rsidRPr="000A6813" w:rsidRDefault="000A6813" w:rsidP="000A6813">
      <w:pPr>
        <w:pStyle w:val="ListParagraph"/>
        <w:numPr>
          <w:ilvl w:val="0"/>
          <w:numId w:val="11"/>
        </w:numPr>
        <w:rPr>
          <w:rFonts w:ascii="Arial" w:hAnsi="Arial" w:cs="Arial"/>
          <w:sz w:val="22"/>
          <w:szCs w:val="22"/>
        </w:rPr>
      </w:pPr>
      <w:r w:rsidRPr="000A6813">
        <w:rPr>
          <w:rFonts w:ascii="Arial" w:hAnsi="Arial" w:cs="Arial"/>
          <w:sz w:val="22"/>
          <w:szCs w:val="22"/>
        </w:rPr>
        <w:t xml:space="preserve">The Work and Pensions Committee held an </w:t>
      </w:r>
      <w:hyperlink r:id="rId16" w:history="1">
        <w:r w:rsidRPr="000A6813">
          <w:rPr>
            <w:rStyle w:val="Hyperlink"/>
            <w:rFonts w:ascii="Arial" w:hAnsi="Arial" w:cs="Arial"/>
            <w:sz w:val="22"/>
            <w:szCs w:val="22"/>
          </w:rPr>
          <w:t>evidence session</w:t>
        </w:r>
      </w:hyperlink>
      <w:r w:rsidRPr="000A6813">
        <w:rPr>
          <w:rFonts w:ascii="Arial" w:hAnsi="Arial" w:cs="Arial"/>
          <w:sz w:val="22"/>
          <w:szCs w:val="22"/>
        </w:rPr>
        <w:t xml:space="preserve"> on Universal Support, as part of its ongoing inquiry into Universal Credit. LGA officers worked in collaboration with the Local Authority Welfare Reform Steering Group, to give evidence to the committee on behalf of local government. Prior to this the committee heard from former Work and Pensions Secretary, Iain Duncan Smith MP, who said that the support provided by councils and other agencies to claimants is essential to the success of Universal Credit. </w:t>
      </w:r>
    </w:p>
    <w:p w14:paraId="62B5D85E" w14:textId="77777777" w:rsidR="000A6813" w:rsidRPr="000A6813" w:rsidRDefault="000A6813" w:rsidP="000A6813">
      <w:pPr>
        <w:spacing w:after="0" w:line="240" w:lineRule="auto"/>
      </w:pPr>
    </w:p>
    <w:p w14:paraId="62B5D85F" w14:textId="77777777" w:rsidR="000A6813" w:rsidRPr="000A6813" w:rsidRDefault="000A6813" w:rsidP="000A6813">
      <w:pPr>
        <w:pStyle w:val="ListParagraph"/>
        <w:numPr>
          <w:ilvl w:val="0"/>
          <w:numId w:val="11"/>
        </w:numPr>
        <w:rPr>
          <w:rFonts w:ascii="Arial" w:hAnsi="Arial" w:cs="Arial"/>
          <w:sz w:val="22"/>
          <w:szCs w:val="22"/>
        </w:rPr>
      </w:pPr>
      <w:r w:rsidRPr="000A6813">
        <w:rPr>
          <w:rFonts w:ascii="Arial" w:hAnsi="Arial" w:cs="Arial"/>
          <w:sz w:val="22"/>
          <w:szCs w:val="22"/>
        </w:rPr>
        <w:t xml:space="preserve">Officers told MPs that the Universal Support programme would be better equipped to help achieve the Government’s welfare reform aims if councils had the flexibility to address each claimant’s needs.  Officers also highlighted the need for the Government to ensure Universal Credit is compatible with wider reforms to working-age welfare, and the housing and employment markets. </w:t>
      </w:r>
    </w:p>
    <w:p w14:paraId="62B5D863" w14:textId="77777777" w:rsidR="00C42B46" w:rsidRPr="00433931" w:rsidRDefault="00C42B46" w:rsidP="00433931">
      <w:bookmarkStart w:id="0" w:name="_GoBack"/>
      <w:bookmarkEnd w:id="0"/>
    </w:p>
    <w:p w14:paraId="62B5D864" w14:textId="77777777" w:rsidR="008243AD" w:rsidRPr="00A90D50" w:rsidRDefault="008243AD" w:rsidP="008243AD">
      <w:pPr>
        <w:spacing w:after="0" w:line="240" w:lineRule="auto"/>
        <w:rPr>
          <w:b/>
        </w:rPr>
      </w:pPr>
    </w:p>
    <w:tbl>
      <w:tblPr>
        <w:tblW w:w="9464" w:type="dxa"/>
        <w:tblLook w:val="01E0" w:firstRow="1" w:lastRow="1" w:firstColumn="1" w:lastColumn="1" w:noHBand="0" w:noVBand="0"/>
      </w:tblPr>
      <w:tblGrid>
        <w:gridCol w:w="2376"/>
        <w:gridCol w:w="7088"/>
      </w:tblGrid>
      <w:tr w:rsidR="003D3D3F" w:rsidRPr="00A90D50" w14:paraId="62B5D867" w14:textId="77777777" w:rsidTr="0018664A">
        <w:trPr>
          <w:trHeight w:val="207"/>
        </w:trPr>
        <w:tc>
          <w:tcPr>
            <w:tcW w:w="2376" w:type="dxa"/>
            <w:shd w:val="clear" w:color="auto" w:fill="auto"/>
          </w:tcPr>
          <w:p w14:paraId="62B5D865" w14:textId="77777777" w:rsidR="003D3D3F" w:rsidRPr="00A90D50" w:rsidRDefault="003D3D3F" w:rsidP="00715275">
            <w:pPr>
              <w:spacing w:after="0" w:line="240" w:lineRule="auto"/>
              <w:rPr>
                <w:rFonts w:eastAsia="Times New Roman"/>
                <w:b/>
                <w:lang w:eastAsia="en-GB"/>
              </w:rPr>
            </w:pPr>
            <w:r w:rsidRPr="00A90D50">
              <w:rPr>
                <w:rFonts w:eastAsia="Times New Roman"/>
                <w:b/>
                <w:lang w:eastAsia="en-GB"/>
              </w:rPr>
              <w:t>Contact Officer</w:t>
            </w:r>
            <w:r w:rsidR="00F378A9" w:rsidRPr="00A90D50">
              <w:rPr>
                <w:rFonts w:eastAsia="Times New Roman"/>
                <w:b/>
                <w:lang w:eastAsia="en-GB"/>
              </w:rPr>
              <w:t>s</w:t>
            </w:r>
            <w:r w:rsidRPr="00A90D50">
              <w:rPr>
                <w:rFonts w:eastAsia="Times New Roman"/>
                <w:b/>
                <w:lang w:eastAsia="en-GB"/>
              </w:rPr>
              <w:t>:</w:t>
            </w:r>
          </w:p>
        </w:tc>
        <w:tc>
          <w:tcPr>
            <w:tcW w:w="7088" w:type="dxa"/>
            <w:shd w:val="clear" w:color="auto" w:fill="auto"/>
          </w:tcPr>
          <w:p w14:paraId="62B5D866" w14:textId="77777777" w:rsidR="003D3D3F" w:rsidRPr="00A90D50" w:rsidRDefault="00CB2EB6" w:rsidP="00D96B5A">
            <w:pPr>
              <w:spacing w:after="0" w:line="240" w:lineRule="auto"/>
              <w:rPr>
                <w:rFonts w:eastAsia="Times New Roman"/>
                <w:lang w:eastAsia="en-GB"/>
              </w:rPr>
            </w:pPr>
            <w:r w:rsidRPr="00A90D50">
              <w:rPr>
                <w:rFonts w:eastAsia="Times New Roman"/>
                <w:lang w:eastAsia="en-GB"/>
              </w:rPr>
              <w:t>Sarah Pickup</w:t>
            </w:r>
            <w:r w:rsidR="00F378A9" w:rsidRPr="00A90D50">
              <w:rPr>
                <w:rFonts w:eastAsia="Times New Roman"/>
                <w:lang w:eastAsia="en-GB"/>
              </w:rPr>
              <w:t xml:space="preserve"> </w:t>
            </w:r>
          </w:p>
        </w:tc>
      </w:tr>
      <w:tr w:rsidR="003D3D3F" w:rsidRPr="00A90D50" w14:paraId="62B5D86A" w14:textId="77777777" w:rsidTr="0018664A">
        <w:tc>
          <w:tcPr>
            <w:tcW w:w="2376" w:type="dxa"/>
            <w:shd w:val="clear" w:color="auto" w:fill="auto"/>
          </w:tcPr>
          <w:p w14:paraId="62B5D868" w14:textId="77777777" w:rsidR="003D3D3F" w:rsidRPr="00A90D50" w:rsidRDefault="003D3D3F" w:rsidP="00715275">
            <w:pPr>
              <w:spacing w:after="0" w:line="240" w:lineRule="auto"/>
              <w:rPr>
                <w:rFonts w:eastAsia="Times New Roman"/>
                <w:b/>
                <w:lang w:eastAsia="en-GB"/>
              </w:rPr>
            </w:pPr>
            <w:r w:rsidRPr="00A90D50">
              <w:rPr>
                <w:rFonts w:eastAsia="Times New Roman"/>
                <w:b/>
                <w:lang w:eastAsia="en-GB"/>
              </w:rPr>
              <w:t>Position:</w:t>
            </w:r>
          </w:p>
        </w:tc>
        <w:tc>
          <w:tcPr>
            <w:tcW w:w="7088" w:type="dxa"/>
            <w:shd w:val="clear" w:color="auto" w:fill="auto"/>
          </w:tcPr>
          <w:p w14:paraId="62B5D869" w14:textId="77777777" w:rsidR="003D3D3F" w:rsidRPr="00A90D50" w:rsidRDefault="00CB2EB6" w:rsidP="00D96B5A">
            <w:pPr>
              <w:spacing w:after="0" w:line="240" w:lineRule="auto"/>
              <w:rPr>
                <w:rFonts w:eastAsia="Times New Roman"/>
                <w:lang w:eastAsia="en-GB"/>
              </w:rPr>
            </w:pPr>
            <w:r w:rsidRPr="00A90D50">
              <w:rPr>
                <w:rFonts w:eastAsia="Times New Roman"/>
                <w:lang w:eastAsia="en-GB"/>
              </w:rPr>
              <w:t>Deputy Chief Executive</w:t>
            </w:r>
          </w:p>
        </w:tc>
      </w:tr>
      <w:tr w:rsidR="003D3D3F" w:rsidRPr="00A90D50" w14:paraId="62B5D86D" w14:textId="77777777" w:rsidTr="0018664A">
        <w:tc>
          <w:tcPr>
            <w:tcW w:w="2376" w:type="dxa"/>
            <w:shd w:val="clear" w:color="auto" w:fill="auto"/>
          </w:tcPr>
          <w:p w14:paraId="62B5D86B" w14:textId="77777777" w:rsidR="003D3D3F" w:rsidRPr="00A90D50" w:rsidRDefault="003D3D3F" w:rsidP="00715275">
            <w:pPr>
              <w:spacing w:after="0" w:line="240" w:lineRule="auto"/>
              <w:rPr>
                <w:rFonts w:eastAsia="Times New Roman"/>
                <w:b/>
                <w:lang w:eastAsia="en-GB"/>
              </w:rPr>
            </w:pPr>
            <w:r w:rsidRPr="00A90D50">
              <w:rPr>
                <w:rFonts w:eastAsia="Times New Roman"/>
                <w:b/>
                <w:lang w:eastAsia="en-GB"/>
              </w:rPr>
              <w:t>Phone no:</w:t>
            </w:r>
          </w:p>
        </w:tc>
        <w:tc>
          <w:tcPr>
            <w:tcW w:w="7088" w:type="dxa"/>
            <w:shd w:val="clear" w:color="auto" w:fill="auto"/>
          </w:tcPr>
          <w:p w14:paraId="62B5D86C" w14:textId="77777777" w:rsidR="003D3D3F" w:rsidRPr="00A90D50" w:rsidRDefault="00CB2EB6" w:rsidP="00D96B5A">
            <w:pPr>
              <w:numPr>
                <w:ilvl w:val="0"/>
                <w:numId w:val="23"/>
              </w:numPr>
              <w:spacing w:after="0" w:line="240" w:lineRule="auto"/>
              <w:ind w:left="0"/>
              <w:rPr>
                <w:rFonts w:eastAsia="Times New Roman"/>
                <w:color w:val="3B4F65"/>
                <w:sz w:val="16"/>
                <w:szCs w:val="16"/>
                <w:lang w:eastAsia="en-GB"/>
              </w:rPr>
            </w:pPr>
            <w:r w:rsidRPr="00A90D50">
              <w:rPr>
                <w:rFonts w:eastAsia="Times New Roman"/>
                <w:szCs w:val="16"/>
                <w:lang w:eastAsia="en-GB"/>
              </w:rPr>
              <w:t>020 7664 3109</w:t>
            </w:r>
          </w:p>
        </w:tc>
      </w:tr>
      <w:tr w:rsidR="003D3D3F" w:rsidRPr="00A90D50" w14:paraId="62B5D870" w14:textId="77777777" w:rsidTr="00F378A9">
        <w:trPr>
          <w:trHeight w:val="513"/>
        </w:trPr>
        <w:tc>
          <w:tcPr>
            <w:tcW w:w="2376" w:type="dxa"/>
            <w:shd w:val="clear" w:color="auto" w:fill="auto"/>
          </w:tcPr>
          <w:p w14:paraId="62B5D86E" w14:textId="77777777" w:rsidR="003D3D3F" w:rsidRPr="00A90D50" w:rsidRDefault="00CB2EB6" w:rsidP="00715275">
            <w:pPr>
              <w:spacing w:after="0" w:line="240" w:lineRule="auto"/>
              <w:rPr>
                <w:rFonts w:eastAsia="Times New Roman"/>
                <w:b/>
                <w:lang w:eastAsia="en-GB"/>
              </w:rPr>
            </w:pPr>
            <w:r w:rsidRPr="00A90D50">
              <w:rPr>
                <w:rFonts w:eastAsia="Times New Roman"/>
                <w:b/>
                <w:lang w:eastAsia="en-GB"/>
              </w:rPr>
              <w:t>E-mail:</w:t>
            </w:r>
          </w:p>
        </w:tc>
        <w:tc>
          <w:tcPr>
            <w:tcW w:w="7088" w:type="dxa"/>
            <w:shd w:val="clear" w:color="auto" w:fill="auto"/>
          </w:tcPr>
          <w:p w14:paraId="62B5D86F" w14:textId="77777777" w:rsidR="003D3D3F" w:rsidRPr="00A90D50" w:rsidRDefault="00433931" w:rsidP="00D96B5A">
            <w:pPr>
              <w:spacing w:after="0" w:line="240" w:lineRule="auto"/>
              <w:rPr>
                <w:rFonts w:eastAsia="Times New Roman"/>
                <w:lang w:eastAsia="en-GB"/>
              </w:rPr>
            </w:pPr>
            <w:hyperlink r:id="rId17" w:history="1">
              <w:r w:rsidR="00CB2EB6" w:rsidRPr="00A90D50">
                <w:rPr>
                  <w:rStyle w:val="Hyperlink"/>
                  <w:rFonts w:eastAsia="Times New Roman"/>
                  <w:lang w:eastAsia="en-GB"/>
                </w:rPr>
                <w:t>Sarah.pickup@local.gov.uk</w:t>
              </w:r>
            </w:hyperlink>
          </w:p>
        </w:tc>
      </w:tr>
    </w:tbl>
    <w:p w14:paraId="62B5D871" w14:textId="77777777" w:rsidR="00FB59A6" w:rsidRPr="00A90D50" w:rsidRDefault="00FB59A6" w:rsidP="00915E4E">
      <w:pPr>
        <w:spacing w:after="0" w:line="240" w:lineRule="auto"/>
      </w:pPr>
    </w:p>
    <w:sectPr w:rsidR="00FB59A6" w:rsidRPr="00A90D50" w:rsidSect="00112180">
      <w:head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5D875" w14:textId="77777777" w:rsidR="00AA2FAC" w:rsidRDefault="00AA2FAC" w:rsidP="00C97AFA">
      <w:pPr>
        <w:spacing w:after="0" w:line="240" w:lineRule="auto"/>
      </w:pPr>
      <w:r>
        <w:separator/>
      </w:r>
    </w:p>
  </w:endnote>
  <w:endnote w:type="continuationSeparator" w:id="0">
    <w:p w14:paraId="62B5D876" w14:textId="77777777" w:rsidR="00AA2FAC" w:rsidRDefault="00AA2FAC" w:rsidP="00C97AFA">
      <w:pPr>
        <w:spacing w:after="0" w:line="240" w:lineRule="auto"/>
      </w:pPr>
      <w:r>
        <w:continuationSeparator/>
      </w:r>
    </w:p>
  </w:endnote>
  <w:endnote w:type="continuationNotice" w:id="1">
    <w:p w14:paraId="62B5D877" w14:textId="77777777" w:rsidR="00AA2FAC" w:rsidRDefault="00AA2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5D872" w14:textId="77777777" w:rsidR="00AA2FAC" w:rsidRDefault="00AA2FAC" w:rsidP="00C97AFA">
      <w:pPr>
        <w:spacing w:after="0" w:line="240" w:lineRule="auto"/>
      </w:pPr>
      <w:r>
        <w:separator/>
      </w:r>
    </w:p>
  </w:footnote>
  <w:footnote w:type="continuationSeparator" w:id="0">
    <w:p w14:paraId="62B5D873" w14:textId="77777777" w:rsidR="00AA2FAC" w:rsidRDefault="00AA2FAC" w:rsidP="00C97AFA">
      <w:pPr>
        <w:spacing w:after="0" w:line="240" w:lineRule="auto"/>
      </w:pPr>
      <w:r>
        <w:continuationSeparator/>
      </w:r>
    </w:p>
  </w:footnote>
  <w:footnote w:type="continuationNotice" w:id="1">
    <w:p w14:paraId="62B5D874" w14:textId="77777777" w:rsidR="00AA2FAC" w:rsidRDefault="00AA2F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920"/>
      <w:gridCol w:w="3260"/>
    </w:tblGrid>
    <w:tr w:rsidR="0068358A" w14:paraId="62B5D87C" w14:textId="77777777" w:rsidTr="00EB7F57">
      <w:tc>
        <w:tcPr>
          <w:tcW w:w="5920" w:type="dxa"/>
          <w:vMerge w:val="restart"/>
          <w:hideMark/>
        </w:tcPr>
        <w:p w14:paraId="62B5D878" w14:textId="77777777" w:rsidR="0068358A" w:rsidRDefault="0068358A" w:rsidP="00585DC8">
          <w:pPr>
            <w:pStyle w:val="Header"/>
            <w:tabs>
              <w:tab w:val="center" w:pos="2923"/>
            </w:tabs>
          </w:pPr>
          <w:r>
            <w:rPr>
              <w:noProof/>
              <w:sz w:val="44"/>
              <w:szCs w:val="44"/>
              <w:lang w:eastAsia="en-GB"/>
            </w:rPr>
            <w:drawing>
              <wp:inline distT="0" distB="0" distL="0" distR="0" wp14:anchorId="62B5D882" wp14:editId="62B5D883">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62B5D879" w14:textId="77777777" w:rsidR="0068358A" w:rsidRDefault="0068358A" w:rsidP="00585DC8">
          <w:pPr>
            <w:pStyle w:val="Header"/>
            <w:rPr>
              <w:b/>
            </w:rPr>
          </w:pPr>
        </w:p>
        <w:p w14:paraId="62B5D87A" w14:textId="77777777" w:rsidR="0068358A" w:rsidRDefault="0068358A" w:rsidP="00585DC8">
          <w:pPr>
            <w:pStyle w:val="Header"/>
            <w:rPr>
              <w:b/>
            </w:rPr>
          </w:pPr>
          <w:r>
            <w:rPr>
              <w:b/>
            </w:rPr>
            <w:t>Councillors’ Forum</w:t>
          </w:r>
        </w:p>
        <w:p w14:paraId="62B5D87B" w14:textId="77777777" w:rsidR="0068358A" w:rsidRDefault="0068358A" w:rsidP="00585DC8">
          <w:pPr>
            <w:pStyle w:val="Header"/>
            <w:rPr>
              <w:b/>
            </w:rPr>
          </w:pPr>
        </w:p>
      </w:tc>
    </w:tr>
    <w:tr w:rsidR="0068358A" w14:paraId="62B5D87F" w14:textId="77777777" w:rsidTr="00EB7F57">
      <w:trPr>
        <w:trHeight w:val="450"/>
      </w:trPr>
      <w:tc>
        <w:tcPr>
          <w:tcW w:w="0" w:type="auto"/>
          <w:vMerge/>
          <w:vAlign w:val="center"/>
          <w:hideMark/>
        </w:tcPr>
        <w:p w14:paraId="62B5D87D" w14:textId="77777777" w:rsidR="0068358A" w:rsidRDefault="0068358A" w:rsidP="00585DC8"/>
      </w:tc>
      <w:tc>
        <w:tcPr>
          <w:tcW w:w="3260" w:type="dxa"/>
          <w:vAlign w:val="center"/>
          <w:hideMark/>
        </w:tcPr>
        <w:p w14:paraId="62B5D87E" w14:textId="77777777" w:rsidR="0068358A" w:rsidRDefault="0068358A" w:rsidP="00B90687">
          <w:pPr>
            <w:pStyle w:val="Header"/>
            <w:spacing w:before="60"/>
          </w:pPr>
          <w:r>
            <w:t>7 June 2018</w:t>
          </w:r>
        </w:p>
      </w:tc>
    </w:tr>
  </w:tbl>
  <w:p w14:paraId="62B5D880" w14:textId="77777777" w:rsidR="0068358A" w:rsidRPr="00962F3C" w:rsidRDefault="0068358A" w:rsidP="00585DC8">
    <w:pPr>
      <w:pStyle w:val="Header"/>
    </w:pPr>
  </w:p>
  <w:p w14:paraId="62B5D881" w14:textId="77777777" w:rsidR="0068358A" w:rsidRPr="00585DC8" w:rsidRDefault="0068358A" w:rsidP="00585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5CE"/>
    <w:multiLevelType w:val="hybridMultilevel"/>
    <w:tmpl w:val="B5C034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1741A"/>
    <w:multiLevelType w:val="hybridMultilevel"/>
    <w:tmpl w:val="1452FE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82CF6"/>
    <w:multiLevelType w:val="hybridMultilevel"/>
    <w:tmpl w:val="46327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08428A"/>
    <w:multiLevelType w:val="hybridMultilevel"/>
    <w:tmpl w:val="F73072AC"/>
    <w:lvl w:ilvl="0" w:tplc="B1CEC2BA">
      <w:start w:val="1"/>
      <w:numFmt w:val="decimal"/>
      <w:lvlText w:val="%1."/>
      <w:lvlJc w:val="left"/>
      <w:pPr>
        <w:ind w:left="360" w:hanging="360"/>
      </w:pPr>
      <w:rPr>
        <w:rFonts w:hint="default"/>
        <w:sz w:val="22"/>
        <w:szCs w:val="22"/>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0DDC62F8"/>
    <w:multiLevelType w:val="hybridMultilevel"/>
    <w:tmpl w:val="097A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60D11"/>
    <w:multiLevelType w:val="multilevel"/>
    <w:tmpl w:val="12BAB24E"/>
    <w:lvl w:ilvl="0">
      <w:start w:val="1"/>
      <w:numFmt w:val="decimal"/>
      <w:lvlText w:val="%1."/>
      <w:lvlJc w:val="left"/>
      <w:pPr>
        <w:ind w:left="360" w:hanging="360"/>
      </w:pPr>
    </w:lvl>
    <w:lvl w:ilvl="1">
      <w:start w:val="1"/>
      <w:numFmt w:val="decimal"/>
      <w:lvlText w:val="%1.%2."/>
      <w:lvlJc w:val="left"/>
      <w:pPr>
        <w:ind w:left="720" w:hanging="720"/>
      </w:pPr>
      <w:rPr>
        <w:rFonts w:ascii="Arial" w:hAnsi="Arial" w:cs="Arial" w:hint="default"/>
        <w:b w:val="0"/>
        <w:color w:val="auto"/>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15:restartNumberingAfterBreak="0">
    <w:nsid w:val="21003FE8"/>
    <w:multiLevelType w:val="multilevel"/>
    <w:tmpl w:val="B470A4DA"/>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1256"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4162C0"/>
    <w:multiLevelType w:val="multilevel"/>
    <w:tmpl w:val="4DCA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A499E"/>
    <w:multiLevelType w:val="hybridMultilevel"/>
    <w:tmpl w:val="E8768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89662F"/>
    <w:multiLevelType w:val="multilevel"/>
    <w:tmpl w:val="C6BEE5C0"/>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5816" w:hanging="1800"/>
      </w:pPr>
    </w:lvl>
  </w:abstractNum>
  <w:abstractNum w:abstractNumId="10" w15:restartNumberingAfterBreak="0">
    <w:nsid w:val="2F7C65BC"/>
    <w:multiLevelType w:val="multilevel"/>
    <w:tmpl w:val="FDA42E42"/>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790C7F"/>
    <w:multiLevelType w:val="hybridMultilevel"/>
    <w:tmpl w:val="272C2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5E5EE0"/>
    <w:multiLevelType w:val="hybridMultilevel"/>
    <w:tmpl w:val="2604E26C"/>
    <w:lvl w:ilvl="0" w:tplc="7FDC7D2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A92268"/>
    <w:multiLevelType w:val="hybridMultilevel"/>
    <w:tmpl w:val="6D362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BD4DE5"/>
    <w:multiLevelType w:val="hybridMultilevel"/>
    <w:tmpl w:val="FADA0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6B7D07"/>
    <w:multiLevelType w:val="multilevel"/>
    <w:tmpl w:val="0D74621C"/>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C9B6382"/>
    <w:multiLevelType w:val="hybridMultilevel"/>
    <w:tmpl w:val="E9AE54EC"/>
    <w:lvl w:ilvl="0" w:tplc="35508F3A">
      <w:start w:val="7"/>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45D1626"/>
    <w:multiLevelType w:val="hybridMultilevel"/>
    <w:tmpl w:val="71C4E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D45BFE"/>
    <w:multiLevelType w:val="hybridMultilevel"/>
    <w:tmpl w:val="BF8A9F40"/>
    <w:lvl w:ilvl="0" w:tplc="7FDC7D2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E925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CB79D0"/>
    <w:multiLevelType w:val="hybridMultilevel"/>
    <w:tmpl w:val="D5F6DB6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78B21B26"/>
    <w:multiLevelType w:val="hybridMultilevel"/>
    <w:tmpl w:val="E0B6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
  </w:num>
  <w:num w:numId="3">
    <w:abstractNumId w:val="0"/>
  </w:num>
  <w:num w:numId="4">
    <w:abstractNumId w:val="15"/>
  </w:num>
  <w:num w:numId="5">
    <w:abstractNumId w:val="14"/>
  </w:num>
  <w:num w:numId="6">
    <w:abstractNumId w:val="6"/>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10"/>
  </w:num>
  <w:num w:numId="12">
    <w:abstractNumId w:val="19"/>
  </w:num>
  <w:num w:numId="13">
    <w:abstractNumId w:val="3"/>
  </w:num>
  <w:num w:numId="14">
    <w:abstractNumId w:val="21"/>
  </w:num>
  <w:num w:numId="15">
    <w:abstractNumId w:val="8"/>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7"/>
  </w:num>
  <w:num w:numId="2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0D"/>
    <w:rsid w:val="00001E8C"/>
    <w:rsid w:val="00003574"/>
    <w:rsid w:val="00006616"/>
    <w:rsid w:val="00007132"/>
    <w:rsid w:val="000105D0"/>
    <w:rsid w:val="00010746"/>
    <w:rsid w:val="0001675F"/>
    <w:rsid w:val="000232F9"/>
    <w:rsid w:val="00032B75"/>
    <w:rsid w:val="00035136"/>
    <w:rsid w:val="00046D02"/>
    <w:rsid w:val="0004775F"/>
    <w:rsid w:val="00047DFB"/>
    <w:rsid w:val="0005353C"/>
    <w:rsid w:val="00055310"/>
    <w:rsid w:val="00060614"/>
    <w:rsid w:val="00064FD7"/>
    <w:rsid w:val="0006639F"/>
    <w:rsid w:val="000713E0"/>
    <w:rsid w:val="00076F61"/>
    <w:rsid w:val="00080937"/>
    <w:rsid w:val="00083E0A"/>
    <w:rsid w:val="000936F1"/>
    <w:rsid w:val="00095A0A"/>
    <w:rsid w:val="000A160D"/>
    <w:rsid w:val="000A28A9"/>
    <w:rsid w:val="000A6813"/>
    <w:rsid w:val="000A6BB9"/>
    <w:rsid w:val="000A6F1E"/>
    <w:rsid w:val="000B2247"/>
    <w:rsid w:val="000B22B8"/>
    <w:rsid w:val="000B6B4C"/>
    <w:rsid w:val="000C0076"/>
    <w:rsid w:val="000C0E2F"/>
    <w:rsid w:val="000C596B"/>
    <w:rsid w:val="000D2F41"/>
    <w:rsid w:val="000D4490"/>
    <w:rsid w:val="000D4E05"/>
    <w:rsid w:val="000F2B91"/>
    <w:rsid w:val="000F3B42"/>
    <w:rsid w:val="000F65A2"/>
    <w:rsid w:val="00101ECC"/>
    <w:rsid w:val="001029A6"/>
    <w:rsid w:val="00112180"/>
    <w:rsid w:val="00112DEB"/>
    <w:rsid w:val="00114BD6"/>
    <w:rsid w:val="0011758D"/>
    <w:rsid w:val="00124C34"/>
    <w:rsid w:val="0012567B"/>
    <w:rsid w:val="0014205A"/>
    <w:rsid w:val="0015071D"/>
    <w:rsid w:val="00150B84"/>
    <w:rsid w:val="00151F6D"/>
    <w:rsid w:val="00160E57"/>
    <w:rsid w:val="001643F7"/>
    <w:rsid w:val="00165D96"/>
    <w:rsid w:val="00166923"/>
    <w:rsid w:val="00166FB1"/>
    <w:rsid w:val="00176D2F"/>
    <w:rsid w:val="0018664A"/>
    <w:rsid w:val="00190B68"/>
    <w:rsid w:val="00190F60"/>
    <w:rsid w:val="0019299F"/>
    <w:rsid w:val="00193CA7"/>
    <w:rsid w:val="00195F16"/>
    <w:rsid w:val="001A0848"/>
    <w:rsid w:val="001A1AF4"/>
    <w:rsid w:val="001A577C"/>
    <w:rsid w:val="001B2017"/>
    <w:rsid w:val="001B53F1"/>
    <w:rsid w:val="001B5FC2"/>
    <w:rsid w:val="001B64E4"/>
    <w:rsid w:val="001B7200"/>
    <w:rsid w:val="001B76BD"/>
    <w:rsid w:val="001B7B6D"/>
    <w:rsid w:val="001C3209"/>
    <w:rsid w:val="001C6782"/>
    <w:rsid w:val="001D46B8"/>
    <w:rsid w:val="001D6915"/>
    <w:rsid w:val="001D6CE0"/>
    <w:rsid w:val="001E38C5"/>
    <w:rsid w:val="001E7204"/>
    <w:rsid w:val="001F4783"/>
    <w:rsid w:val="001F5EEE"/>
    <w:rsid w:val="0020427C"/>
    <w:rsid w:val="002109C0"/>
    <w:rsid w:val="00213646"/>
    <w:rsid w:val="00216847"/>
    <w:rsid w:val="00221C63"/>
    <w:rsid w:val="002222B5"/>
    <w:rsid w:val="00223D8C"/>
    <w:rsid w:val="0023518E"/>
    <w:rsid w:val="00236BCD"/>
    <w:rsid w:val="00240078"/>
    <w:rsid w:val="00250DDA"/>
    <w:rsid w:val="0025511B"/>
    <w:rsid w:val="0025737B"/>
    <w:rsid w:val="00264B24"/>
    <w:rsid w:val="002671A2"/>
    <w:rsid w:val="00267F57"/>
    <w:rsid w:val="00272A2B"/>
    <w:rsid w:val="00276543"/>
    <w:rsid w:val="002814E1"/>
    <w:rsid w:val="0028231B"/>
    <w:rsid w:val="00284AE7"/>
    <w:rsid w:val="00287BBD"/>
    <w:rsid w:val="002922DA"/>
    <w:rsid w:val="00293670"/>
    <w:rsid w:val="0029698E"/>
    <w:rsid w:val="00296B49"/>
    <w:rsid w:val="002A0AAB"/>
    <w:rsid w:val="002A2ED6"/>
    <w:rsid w:val="002A3179"/>
    <w:rsid w:val="002A558B"/>
    <w:rsid w:val="002A6726"/>
    <w:rsid w:val="002B0612"/>
    <w:rsid w:val="002B4474"/>
    <w:rsid w:val="002C0B2A"/>
    <w:rsid w:val="002C14A9"/>
    <w:rsid w:val="002C3648"/>
    <w:rsid w:val="002C4CA2"/>
    <w:rsid w:val="002C65BE"/>
    <w:rsid w:val="002D2862"/>
    <w:rsid w:val="002D7A12"/>
    <w:rsid w:val="002E7409"/>
    <w:rsid w:val="002F11DF"/>
    <w:rsid w:val="002F1470"/>
    <w:rsid w:val="002F5E4B"/>
    <w:rsid w:val="003048E3"/>
    <w:rsid w:val="00313166"/>
    <w:rsid w:val="00314782"/>
    <w:rsid w:val="00316993"/>
    <w:rsid w:val="00321CD9"/>
    <w:rsid w:val="0032335D"/>
    <w:rsid w:val="0032440C"/>
    <w:rsid w:val="0032721D"/>
    <w:rsid w:val="0033346A"/>
    <w:rsid w:val="003353F1"/>
    <w:rsid w:val="0033608B"/>
    <w:rsid w:val="00337916"/>
    <w:rsid w:val="00340FDD"/>
    <w:rsid w:val="00342213"/>
    <w:rsid w:val="00342C26"/>
    <w:rsid w:val="00346B4E"/>
    <w:rsid w:val="0035117B"/>
    <w:rsid w:val="00351355"/>
    <w:rsid w:val="00351506"/>
    <w:rsid w:val="003561CE"/>
    <w:rsid w:val="003566D6"/>
    <w:rsid w:val="00357E07"/>
    <w:rsid w:val="00362D15"/>
    <w:rsid w:val="0036674C"/>
    <w:rsid w:val="00381394"/>
    <w:rsid w:val="0038771F"/>
    <w:rsid w:val="00390DDE"/>
    <w:rsid w:val="00391F80"/>
    <w:rsid w:val="00393D81"/>
    <w:rsid w:val="0039715B"/>
    <w:rsid w:val="003A2E16"/>
    <w:rsid w:val="003A3AE9"/>
    <w:rsid w:val="003B5F0F"/>
    <w:rsid w:val="003B772B"/>
    <w:rsid w:val="003C1165"/>
    <w:rsid w:val="003C55BA"/>
    <w:rsid w:val="003C6B07"/>
    <w:rsid w:val="003C72F8"/>
    <w:rsid w:val="003D3D3F"/>
    <w:rsid w:val="003E0E26"/>
    <w:rsid w:val="003E1E6F"/>
    <w:rsid w:val="003E325C"/>
    <w:rsid w:val="003E381E"/>
    <w:rsid w:val="00400620"/>
    <w:rsid w:val="004028CD"/>
    <w:rsid w:val="00403638"/>
    <w:rsid w:val="00405AA9"/>
    <w:rsid w:val="0040668F"/>
    <w:rsid w:val="00406E85"/>
    <w:rsid w:val="004112E2"/>
    <w:rsid w:val="00414EC2"/>
    <w:rsid w:val="0042019B"/>
    <w:rsid w:val="004208B1"/>
    <w:rsid w:val="004240C4"/>
    <w:rsid w:val="00430CC6"/>
    <w:rsid w:val="004337F5"/>
    <w:rsid w:val="00433931"/>
    <w:rsid w:val="004424C7"/>
    <w:rsid w:val="0044319C"/>
    <w:rsid w:val="00450FF5"/>
    <w:rsid w:val="00451824"/>
    <w:rsid w:val="00460C9C"/>
    <w:rsid w:val="00466AFF"/>
    <w:rsid w:val="004673AE"/>
    <w:rsid w:val="00473816"/>
    <w:rsid w:val="00473BED"/>
    <w:rsid w:val="00473EAD"/>
    <w:rsid w:val="004756A7"/>
    <w:rsid w:val="00480880"/>
    <w:rsid w:val="00481A7A"/>
    <w:rsid w:val="00482499"/>
    <w:rsid w:val="004826B9"/>
    <w:rsid w:val="00483A51"/>
    <w:rsid w:val="00490CF1"/>
    <w:rsid w:val="00490D8E"/>
    <w:rsid w:val="00491665"/>
    <w:rsid w:val="00492781"/>
    <w:rsid w:val="00493FA5"/>
    <w:rsid w:val="00497483"/>
    <w:rsid w:val="004A244C"/>
    <w:rsid w:val="004A42B8"/>
    <w:rsid w:val="004A5A49"/>
    <w:rsid w:val="004A6DC7"/>
    <w:rsid w:val="004A6ED8"/>
    <w:rsid w:val="004B5F20"/>
    <w:rsid w:val="004C0406"/>
    <w:rsid w:val="004C1D96"/>
    <w:rsid w:val="004C1DD8"/>
    <w:rsid w:val="004C2578"/>
    <w:rsid w:val="004C34A0"/>
    <w:rsid w:val="004C3BBA"/>
    <w:rsid w:val="004C7212"/>
    <w:rsid w:val="004E1A55"/>
    <w:rsid w:val="004E60C1"/>
    <w:rsid w:val="004F14FF"/>
    <w:rsid w:val="004F3379"/>
    <w:rsid w:val="005010C8"/>
    <w:rsid w:val="005015A6"/>
    <w:rsid w:val="00507E7C"/>
    <w:rsid w:val="00507F7E"/>
    <w:rsid w:val="00511019"/>
    <w:rsid w:val="005114A4"/>
    <w:rsid w:val="00533215"/>
    <w:rsid w:val="00535DC4"/>
    <w:rsid w:val="00537E86"/>
    <w:rsid w:val="0054150B"/>
    <w:rsid w:val="0054579E"/>
    <w:rsid w:val="005462E7"/>
    <w:rsid w:val="00546E23"/>
    <w:rsid w:val="005504CA"/>
    <w:rsid w:val="005524E8"/>
    <w:rsid w:val="00554E17"/>
    <w:rsid w:val="005625FC"/>
    <w:rsid w:val="00563C23"/>
    <w:rsid w:val="00572EA5"/>
    <w:rsid w:val="00573194"/>
    <w:rsid w:val="00575262"/>
    <w:rsid w:val="00577450"/>
    <w:rsid w:val="005831B6"/>
    <w:rsid w:val="005840D2"/>
    <w:rsid w:val="00585DC8"/>
    <w:rsid w:val="00586A2F"/>
    <w:rsid w:val="00586B70"/>
    <w:rsid w:val="0059353E"/>
    <w:rsid w:val="00593D2D"/>
    <w:rsid w:val="005A3AF8"/>
    <w:rsid w:val="005A4BC0"/>
    <w:rsid w:val="005A529C"/>
    <w:rsid w:val="005A79F4"/>
    <w:rsid w:val="005B01A4"/>
    <w:rsid w:val="005B1619"/>
    <w:rsid w:val="005B2F00"/>
    <w:rsid w:val="005B471E"/>
    <w:rsid w:val="005C267A"/>
    <w:rsid w:val="005C378B"/>
    <w:rsid w:val="005C597B"/>
    <w:rsid w:val="005C6865"/>
    <w:rsid w:val="005D2110"/>
    <w:rsid w:val="005E1EB4"/>
    <w:rsid w:val="005E5752"/>
    <w:rsid w:val="005E7E47"/>
    <w:rsid w:val="005F0BE7"/>
    <w:rsid w:val="00614060"/>
    <w:rsid w:val="00615320"/>
    <w:rsid w:val="00620255"/>
    <w:rsid w:val="00622F80"/>
    <w:rsid w:val="00623954"/>
    <w:rsid w:val="00627CF3"/>
    <w:rsid w:val="00633A6B"/>
    <w:rsid w:val="00634859"/>
    <w:rsid w:val="00640090"/>
    <w:rsid w:val="0064552E"/>
    <w:rsid w:val="006605A5"/>
    <w:rsid w:val="006605D4"/>
    <w:rsid w:val="00665AF9"/>
    <w:rsid w:val="0067372F"/>
    <w:rsid w:val="00673F92"/>
    <w:rsid w:val="00674AA2"/>
    <w:rsid w:val="0068358A"/>
    <w:rsid w:val="00695B13"/>
    <w:rsid w:val="006A4833"/>
    <w:rsid w:val="006A5C5C"/>
    <w:rsid w:val="006B312F"/>
    <w:rsid w:val="006B772D"/>
    <w:rsid w:val="006D012F"/>
    <w:rsid w:val="006D661D"/>
    <w:rsid w:val="006E4256"/>
    <w:rsid w:val="006E47AA"/>
    <w:rsid w:val="006E5B3A"/>
    <w:rsid w:val="006F111F"/>
    <w:rsid w:val="006F7AD6"/>
    <w:rsid w:val="0070203C"/>
    <w:rsid w:val="0070344A"/>
    <w:rsid w:val="00704AEB"/>
    <w:rsid w:val="00712406"/>
    <w:rsid w:val="00715275"/>
    <w:rsid w:val="00722D80"/>
    <w:rsid w:val="007334F3"/>
    <w:rsid w:val="0073710D"/>
    <w:rsid w:val="007414C5"/>
    <w:rsid w:val="00742C4C"/>
    <w:rsid w:val="007462F6"/>
    <w:rsid w:val="00746DEE"/>
    <w:rsid w:val="00747961"/>
    <w:rsid w:val="007501D5"/>
    <w:rsid w:val="00755F00"/>
    <w:rsid w:val="00756BCA"/>
    <w:rsid w:val="007605A1"/>
    <w:rsid w:val="00763428"/>
    <w:rsid w:val="0076494F"/>
    <w:rsid w:val="0076749C"/>
    <w:rsid w:val="007704D1"/>
    <w:rsid w:val="00771107"/>
    <w:rsid w:val="00774458"/>
    <w:rsid w:val="007769A0"/>
    <w:rsid w:val="00780380"/>
    <w:rsid w:val="007829C7"/>
    <w:rsid w:val="007A2823"/>
    <w:rsid w:val="007A557A"/>
    <w:rsid w:val="007A6BD3"/>
    <w:rsid w:val="007B49A3"/>
    <w:rsid w:val="007B793E"/>
    <w:rsid w:val="007C12DF"/>
    <w:rsid w:val="007C17D5"/>
    <w:rsid w:val="007C19E8"/>
    <w:rsid w:val="007D125A"/>
    <w:rsid w:val="007D12EA"/>
    <w:rsid w:val="007D4051"/>
    <w:rsid w:val="007D735B"/>
    <w:rsid w:val="007D77DD"/>
    <w:rsid w:val="007E2E15"/>
    <w:rsid w:val="007E7CB9"/>
    <w:rsid w:val="007F28B2"/>
    <w:rsid w:val="00801BFE"/>
    <w:rsid w:val="00802516"/>
    <w:rsid w:val="00804188"/>
    <w:rsid w:val="00816891"/>
    <w:rsid w:val="00821F44"/>
    <w:rsid w:val="008243AD"/>
    <w:rsid w:val="008246D9"/>
    <w:rsid w:val="00831500"/>
    <w:rsid w:val="00831A74"/>
    <w:rsid w:val="008472DB"/>
    <w:rsid w:val="00847A88"/>
    <w:rsid w:val="00847ACE"/>
    <w:rsid w:val="0086071C"/>
    <w:rsid w:val="008721AE"/>
    <w:rsid w:val="00872991"/>
    <w:rsid w:val="0087703A"/>
    <w:rsid w:val="00881154"/>
    <w:rsid w:val="00881B80"/>
    <w:rsid w:val="008844C0"/>
    <w:rsid w:val="0089331B"/>
    <w:rsid w:val="008977C4"/>
    <w:rsid w:val="008A2F95"/>
    <w:rsid w:val="008A3EAE"/>
    <w:rsid w:val="008A6FFE"/>
    <w:rsid w:val="008B0EBD"/>
    <w:rsid w:val="008C17EE"/>
    <w:rsid w:val="008C2123"/>
    <w:rsid w:val="008C24BA"/>
    <w:rsid w:val="008C6201"/>
    <w:rsid w:val="008E4501"/>
    <w:rsid w:val="008E5E40"/>
    <w:rsid w:val="008F160C"/>
    <w:rsid w:val="008F367B"/>
    <w:rsid w:val="008F36D7"/>
    <w:rsid w:val="008F51CF"/>
    <w:rsid w:val="008F6D69"/>
    <w:rsid w:val="009021E7"/>
    <w:rsid w:val="00903F37"/>
    <w:rsid w:val="0091107F"/>
    <w:rsid w:val="0091165B"/>
    <w:rsid w:val="009141CB"/>
    <w:rsid w:val="00915A46"/>
    <w:rsid w:val="00915DBB"/>
    <w:rsid w:val="00915E4E"/>
    <w:rsid w:val="00931A9A"/>
    <w:rsid w:val="00935E4C"/>
    <w:rsid w:val="00945401"/>
    <w:rsid w:val="00950402"/>
    <w:rsid w:val="009509F5"/>
    <w:rsid w:val="009543F0"/>
    <w:rsid w:val="0096183C"/>
    <w:rsid w:val="00967807"/>
    <w:rsid w:val="00974406"/>
    <w:rsid w:val="00980173"/>
    <w:rsid w:val="009900BF"/>
    <w:rsid w:val="0099023E"/>
    <w:rsid w:val="009907AF"/>
    <w:rsid w:val="00995FF2"/>
    <w:rsid w:val="009A35CD"/>
    <w:rsid w:val="009A7530"/>
    <w:rsid w:val="009B339E"/>
    <w:rsid w:val="009B572D"/>
    <w:rsid w:val="009B675C"/>
    <w:rsid w:val="009C07C6"/>
    <w:rsid w:val="009C2173"/>
    <w:rsid w:val="009D072D"/>
    <w:rsid w:val="009D0B43"/>
    <w:rsid w:val="009D1E25"/>
    <w:rsid w:val="009D52A8"/>
    <w:rsid w:val="009E613F"/>
    <w:rsid w:val="009E7DF1"/>
    <w:rsid w:val="009F7781"/>
    <w:rsid w:val="009F7920"/>
    <w:rsid w:val="00A018DE"/>
    <w:rsid w:val="00A03884"/>
    <w:rsid w:val="00A05B01"/>
    <w:rsid w:val="00A068E8"/>
    <w:rsid w:val="00A07785"/>
    <w:rsid w:val="00A165B6"/>
    <w:rsid w:val="00A22669"/>
    <w:rsid w:val="00A25FDA"/>
    <w:rsid w:val="00A2637A"/>
    <w:rsid w:val="00A278BF"/>
    <w:rsid w:val="00A42705"/>
    <w:rsid w:val="00A43B59"/>
    <w:rsid w:val="00A45639"/>
    <w:rsid w:val="00A468BF"/>
    <w:rsid w:val="00A511B2"/>
    <w:rsid w:val="00A51359"/>
    <w:rsid w:val="00A57F47"/>
    <w:rsid w:val="00A606B4"/>
    <w:rsid w:val="00A60D2B"/>
    <w:rsid w:val="00A71299"/>
    <w:rsid w:val="00A71D4D"/>
    <w:rsid w:val="00A74487"/>
    <w:rsid w:val="00A8192C"/>
    <w:rsid w:val="00A904A1"/>
    <w:rsid w:val="00A907A9"/>
    <w:rsid w:val="00A90D50"/>
    <w:rsid w:val="00A9709C"/>
    <w:rsid w:val="00AA2FAC"/>
    <w:rsid w:val="00AA59B7"/>
    <w:rsid w:val="00AB49EC"/>
    <w:rsid w:val="00AB6E35"/>
    <w:rsid w:val="00AB6E41"/>
    <w:rsid w:val="00AB6E57"/>
    <w:rsid w:val="00AE2515"/>
    <w:rsid w:val="00AE41EB"/>
    <w:rsid w:val="00AF0009"/>
    <w:rsid w:val="00B0308F"/>
    <w:rsid w:val="00B04478"/>
    <w:rsid w:val="00B04816"/>
    <w:rsid w:val="00B048F3"/>
    <w:rsid w:val="00B04DFC"/>
    <w:rsid w:val="00B11CFD"/>
    <w:rsid w:val="00B1267C"/>
    <w:rsid w:val="00B1503D"/>
    <w:rsid w:val="00B2510C"/>
    <w:rsid w:val="00B2709B"/>
    <w:rsid w:val="00B33388"/>
    <w:rsid w:val="00B341A5"/>
    <w:rsid w:val="00B43977"/>
    <w:rsid w:val="00B459C7"/>
    <w:rsid w:val="00B53469"/>
    <w:rsid w:val="00B63FB3"/>
    <w:rsid w:val="00B643F1"/>
    <w:rsid w:val="00B64AE2"/>
    <w:rsid w:val="00B80C53"/>
    <w:rsid w:val="00B82960"/>
    <w:rsid w:val="00B85480"/>
    <w:rsid w:val="00B90687"/>
    <w:rsid w:val="00B9090F"/>
    <w:rsid w:val="00B90E76"/>
    <w:rsid w:val="00B94ADE"/>
    <w:rsid w:val="00B950DF"/>
    <w:rsid w:val="00B9735D"/>
    <w:rsid w:val="00B97581"/>
    <w:rsid w:val="00BA1F4E"/>
    <w:rsid w:val="00BA5C36"/>
    <w:rsid w:val="00BA6094"/>
    <w:rsid w:val="00BB026D"/>
    <w:rsid w:val="00BB3C3A"/>
    <w:rsid w:val="00BB5352"/>
    <w:rsid w:val="00BB6673"/>
    <w:rsid w:val="00BB72E1"/>
    <w:rsid w:val="00BB7F86"/>
    <w:rsid w:val="00BC06A4"/>
    <w:rsid w:val="00BC17BD"/>
    <w:rsid w:val="00BE37D6"/>
    <w:rsid w:val="00BE6F0F"/>
    <w:rsid w:val="00BE7443"/>
    <w:rsid w:val="00BF59C2"/>
    <w:rsid w:val="00BF5AED"/>
    <w:rsid w:val="00BF6F37"/>
    <w:rsid w:val="00BF75A6"/>
    <w:rsid w:val="00C00759"/>
    <w:rsid w:val="00C00FD5"/>
    <w:rsid w:val="00C02E66"/>
    <w:rsid w:val="00C037F4"/>
    <w:rsid w:val="00C04FAF"/>
    <w:rsid w:val="00C16537"/>
    <w:rsid w:val="00C166DD"/>
    <w:rsid w:val="00C332B0"/>
    <w:rsid w:val="00C35EC4"/>
    <w:rsid w:val="00C42B46"/>
    <w:rsid w:val="00C54B9B"/>
    <w:rsid w:val="00C575C7"/>
    <w:rsid w:val="00C61DE4"/>
    <w:rsid w:val="00C71DE2"/>
    <w:rsid w:val="00C75323"/>
    <w:rsid w:val="00C808BB"/>
    <w:rsid w:val="00C810D4"/>
    <w:rsid w:val="00C853B1"/>
    <w:rsid w:val="00C90428"/>
    <w:rsid w:val="00C91BE8"/>
    <w:rsid w:val="00C92F81"/>
    <w:rsid w:val="00C97AFA"/>
    <w:rsid w:val="00CA0CE7"/>
    <w:rsid w:val="00CB2EB6"/>
    <w:rsid w:val="00CB41A0"/>
    <w:rsid w:val="00CB5FDF"/>
    <w:rsid w:val="00CC0FC4"/>
    <w:rsid w:val="00CC52EA"/>
    <w:rsid w:val="00CC67F7"/>
    <w:rsid w:val="00CD04C8"/>
    <w:rsid w:val="00CD04F3"/>
    <w:rsid w:val="00CD535C"/>
    <w:rsid w:val="00CE1EF5"/>
    <w:rsid w:val="00CF7778"/>
    <w:rsid w:val="00CF7E0D"/>
    <w:rsid w:val="00D0050B"/>
    <w:rsid w:val="00D0552A"/>
    <w:rsid w:val="00D14400"/>
    <w:rsid w:val="00D16CFD"/>
    <w:rsid w:val="00D1717C"/>
    <w:rsid w:val="00D20F9A"/>
    <w:rsid w:val="00D21841"/>
    <w:rsid w:val="00D24520"/>
    <w:rsid w:val="00D25728"/>
    <w:rsid w:val="00D27D23"/>
    <w:rsid w:val="00D3159C"/>
    <w:rsid w:val="00D323AC"/>
    <w:rsid w:val="00D41266"/>
    <w:rsid w:val="00D44100"/>
    <w:rsid w:val="00D45033"/>
    <w:rsid w:val="00D45DEA"/>
    <w:rsid w:val="00D45FC8"/>
    <w:rsid w:val="00D4769C"/>
    <w:rsid w:val="00D478FA"/>
    <w:rsid w:val="00D5657D"/>
    <w:rsid w:val="00D64BEC"/>
    <w:rsid w:val="00D722EB"/>
    <w:rsid w:val="00D72BC0"/>
    <w:rsid w:val="00D812F8"/>
    <w:rsid w:val="00D81D4B"/>
    <w:rsid w:val="00D84EFA"/>
    <w:rsid w:val="00D913BF"/>
    <w:rsid w:val="00D91B77"/>
    <w:rsid w:val="00D9383E"/>
    <w:rsid w:val="00D96B5A"/>
    <w:rsid w:val="00DB0068"/>
    <w:rsid w:val="00DB19AE"/>
    <w:rsid w:val="00DB1EB5"/>
    <w:rsid w:val="00DB302B"/>
    <w:rsid w:val="00DB48E4"/>
    <w:rsid w:val="00DB5ACD"/>
    <w:rsid w:val="00DC082A"/>
    <w:rsid w:val="00DC5C78"/>
    <w:rsid w:val="00DD105D"/>
    <w:rsid w:val="00DD3BFD"/>
    <w:rsid w:val="00DF0B4D"/>
    <w:rsid w:val="00DF162F"/>
    <w:rsid w:val="00DF1ADE"/>
    <w:rsid w:val="00E00B8F"/>
    <w:rsid w:val="00E046A3"/>
    <w:rsid w:val="00E1544E"/>
    <w:rsid w:val="00E15B3D"/>
    <w:rsid w:val="00E262FC"/>
    <w:rsid w:val="00E3089D"/>
    <w:rsid w:val="00E31817"/>
    <w:rsid w:val="00E37B12"/>
    <w:rsid w:val="00E4268C"/>
    <w:rsid w:val="00E45A3C"/>
    <w:rsid w:val="00E51655"/>
    <w:rsid w:val="00E54449"/>
    <w:rsid w:val="00E57BB5"/>
    <w:rsid w:val="00E61BBE"/>
    <w:rsid w:val="00E65C23"/>
    <w:rsid w:val="00E67B1A"/>
    <w:rsid w:val="00E71A16"/>
    <w:rsid w:val="00E71DC9"/>
    <w:rsid w:val="00E71FCD"/>
    <w:rsid w:val="00E728CB"/>
    <w:rsid w:val="00E7610C"/>
    <w:rsid w:val="00E77EFE"/>
    <w:rsid w:val="00E8237A"/>
    <w:rsid w:val="00E86924"/>
    <w:rsid w:val="00E86BF0"/>
    <w:rsid w:val="00E87B0F"/>
    <w:rsid w:val="00E9362D"/>
    <w:rsid w:val="00EA4220"/>
    <w:rsid w:val="00EA6B89"/>
    <w:rsid w:val="00EB034D"/>
    <w:rsid w:val="00EB16C0"/>
    <w:rsid w:val="00EB7F57"/>
    <w:rsid w:val="00EC6A23"/>
    <w:rsid w:val="00ED1011"/>
    <w:rsid w:val="00ED37BC"/>
    <w:rsid w:val="00ED525A"/>
    <w:rsid w:val="00EE4C94"/>
    <w:rsid w:val="00EE4DA1"/>
    <w:rsid w:val="00EF2AE7"/>
    <w:rsid w:val="00F01F02"/>
    <w:rsid w:val="00F0522B"/>
    <w:rsid w:val="00F06B3B"/>
    <w:rsid w:val="00F117B7"/>
    <w:rsid w:val="00F11F4E"/>
    <w:rsid w:val="00F14375"/>
    <w:rsid w:val="00F1669A"/>
    <w:rsid w:val="00F179D3"/>
    <w:rsid w:val="00F22618"/>
    <w:rsid w:val="00F248C1"/>
    <w:rsid w:val="00F357FC"/>
    <w:rsid w:val="00F36DEF"/>
    <w:rsid w:val="00F378A9"/>
    <w:rsid w:val="00F4411A"/>
    <w:rsid w:val="00F51FB1"/>
    <w:rsid w:val="00F52C53"/>
    <w:rsid w:val="00F576DA"/>
    <w:rsid w:val="00F6029F"/>
    <w:rsid w:val="00F61F9D"/>
    <w:rsid w:val="00F67DC8"/>
    <w:rsid w:val="00F7073E"/>
    <w:rsid w:val="00F71389"/>
    <w:rsid w:val="00F73B20"/>
    <w:rsid w:val="00F77011"/>
    <w:rsid w:val="00F8288A"/>
    <w:rsid w:val="00F83A64"/>
    <w:rsid w:val="00F83CE6"/>
    <w:rsid w:val="00F9280F"/>
    <w:rsid w:val="00F95A5C"/>
    <w:rsid w:val="00F97996"/>
    <w:rsid w:val="00FA1189"/>
    <w:rsid w:val="00FA6369"/>
    <w:rsid w:val="00FA700B"/>
    <w:rsid w:val="00FB14DA"/>
    <w:rsid w:val="00FB33F4"/>
    <w:rsid w:val="00FB3710"/>
    <w:rsid w:val="00FB59A6"/>
    <w:rsid w:val="00FC0643"/>
    <w:rsid w:val="00FC41F9"/>
    <w:rsid w:val="00FC5A15"/>
    <w:rsid w:val="00FE0C76"/>
    <w:rsid w:val="00FE4CE4"/>
    <w:rsid w:val="00FE7D4F"/>
    <w:rsid w:val="00FF5119"/>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5D82E"/>
  <w15:chartTrackingRefBased/>
  <w15:docId w15:val="{66293DDA-A37A-45A7-8C60-23C9AB1B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DB19AE"/>
    <w:pPr>
      <w:spacing w:after="0" w:line="240" w:lineRule="auto"/>
      <w:ind w:left="720"/>
    </w:pPr>
    <w:rPr>
      <w:rFonts w:ascii="Times New Roman" w:hAnsi="Times New Roman" w:cs="Times New Roman"/>
      <w:sz w:val="24"/>
      <w:szCs w:val="24"/>
      <w:lang w:eastAsia="en-GB"/>
    </w:rPr>
  </w:style>
  <w:style w:type="paragraph" w:styleId="Header">
    <w:name w:val="header"/>
    <w:basedOn w:val="Normal"/>
    <w:link w:val="HeaderChar"/>
    <w:unhideWhenUsed/>
    <w:rsid w:val="00C97AFA"/>
    <w:pPr>
      <w:tabs>
        <w:tab w:val="center" w:pos="4513"/>
        <w:tab w:val="right" w:pos="9026"/>
      </w:tabs>
      <w:spacing w:after="0" w:line="240" w:lineRule="auto"/>
    </w:pPr>
  </w:style>
  <w:style w:type="character" w:customStyle="1" w:styleId="HeaderChar">
    <w:name w:val="Header Char"/>
    <w:basedOn w:val="DefaultParagraphFont"/>
    <w:link w:val="Header"/>
    <w:rsid w:val="00C97AFA"/>
  </w:style>
  <w:style w:type="paragraph" w:styleId="Footer">
    <w:name w:val="footer"/>
    <w:basedOn w:val="Normal"/>
    <w:link w:val="FooterChar"/>
    <w:uiPriority w:val="99"/>
    <w:unhideWhenUsed/>
    <w:rsid w:val="00C9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FA"/>
  </w:style>
  <w:style w:type="character" w:styleId="Hyperlink">
    <w:name w:val="Hyperlink"/>
    <w:basedOn w:val="DefaultParagraphFont"/>
    <w:uiPriority w:val="99"/>
    <w:unhideWhenUsed/>
    <w:rsid w:val="00A03884"/>
    <w:rPr>
      <w:color w:val="1181C1"/>
      <w:u w:val="single"/>
    </w:rPr>
  </w:style>
  <w:style w:type="paragraph" w:customStyle="1" w:styleId="MainText">
    <w:name w:val="Main Text"/>
    <w:basedOn w:val="Normal"/>
    <w:link w:val="MainTextChar"/>
    <w:rsid w:val="00FA6369"/>
    <w:pPr>
      <w:spacing w:after="0" w:line="280" w:lineRule="exact"/>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B82960"/>
    <w:rPr>
      <w:sz w:val="16"/>
      <w:szCs w:val="16"/>
    </w:rPr>
  </w:style>
  <w:style w:type="paragraph" w:styleId="CommentText">
    <w:name w:val="annotation text"/>
    <w:basedOn w:val="Normal"/>
    <w:link w:val="CommentTextChar"/>
    <w:uiPriority w:val="99"/>
    <w:semiHidden/>
    <w:unhideWhenUsed/>
    <w:rsid w:val="00B82960"/>
    <w:pPr>
      <w:spacing w:line="240" w:lineRule="auto"/>
    </w:pPr>
    <w:rPr>
      <w:sz w:val="20"/>
      <w:szCs w:val="20"/>
    </w:rPr>
  </w:style>
  <w:style w:type="character" w:customStyle="1" w:styleId="CommentTextChar">
    <w:name w:val="Comment Text Char"/>
    <w:basedOn w:val="DefaultParagraphFont"/>
    <w:link w:val="CommentText"/>
    <w:uiPriority w:val="99"/>
    <w:semiHidden/>
    <w:rsid w:val="00B82960"/>
    <w:rPr>
      <w:sz w:val="20"/>
      <w:szCs w:val="20"/>
    </w:rPr>
  </w:style>
  <w:style w:type="paragraph" w:styleId="BalloonText">
    <w:name w:val="Balloon Text"/>
    <w:basedOn w:val="Normal"/>
    <w:link w:val="BalloonTextChar"/>
    <w:uiPriority w:val="99"/>
    <w:semiHidden/>
    <w:unhideWhenUsed/>
    <w:rsid w:val="00B8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60"/>
    <w:rPr>
      <w:rFonts w:ascii="Segoe UI" w:hAnsi="Segoe UI" w:cs="Segoe UI"/>
      <w:sz w:val="18"/>
      <w:szCs w:val="18"/>
    </w:rPr>
  </w:style>
  <w:style w:type="character" w:styleId="Emphasis">
    <w:name w:val="Emphasis"/>
    <w:basedOn w:val="DefaultParagraphFont"/>
    <w:uiPriority w:val="20"/>
    <w:qFormat/>
    <w:rsid w:val="001C3209"/>
    <w:rPr>
      <w:b/>
      <w:bCs/>
      <w:i w:val="0"/>
      <w:iCs w:val="0"/>
    </w:rPr>
  </w:style>
  <w:style w:type="character" w:customStyle="1" w:styleId="st1">
    <w:name w:val="st1"/>
    <w:basedOn w:val="DefaultParagraphFont"/>
    <w:rsid w:val="001C3209"/>
  </w:style>
  <w:style w:type="character" w:styleId="FollowedHyperlink">
    <w:name w:val="FollowedHyperlink"/>
    <w:basedOn w:val="DefaultParagraphFont"/>
    <w:uiPriority w:val="99"/>
    <w:semiHidden/>
    <w:unhideWhenUsed/>
    <w:rsid w:val="0059353E"/>
    <w:rPr>
      <w:color w:val="954F72" w:themeColor="followedHyperlink"/>
      <w:u w:val="single"/>
    </w:rPr>
  </w:style>
  <w:style w:type="paragraph" w:customStyle="1" w:styleId="LGAItemNoHeading">
    <w:name w:val="LGA Item No Heading"/>
    <w:basedOn w:val="MainText"/>
    <w:rsid w:val="00284AE7"/>
    <w:pPr>
      <w:spacing w:before="600" w:after="240"/>
    </w:pPr>
    <w:rPr>
      <w:rFonts w:ascii="Frutiger 55 Roman" w:hAnsi="Frutiger 55 Roman"/>
      <w:b/>
      <w:sz w:val="32"/>
    </w:rPr>
  </w:style>
  <w:style w:type="character" w:customStyle="1" w:styleId="MainTextChar">
    <w:name w:val="Main Text Char"/>
    <w:link w:val="MainText"/>
    <w:locked/>
    <w:rsid w:val="008F51CF"/>
    <w:rPr>
      <w:rFonts w:ascii="Frutiger 45 Light" w:eastAsia="Times New Roman" w:hAnsi="Frutiger 45 Light" w:cs="Times New Roman"/>
      <w:szCs w:val="20"/>
      <w:lang w:eastAsia="en-GB"/>
    </w:rPr>
  </w:style>
  <w:style w:type="paragraph" w:customStyle="1" w:styleId="Default">
    <w:name w:val="Default"/>
    <w:rsid w:val="00EE4DA1"/>
    <w:pPr>
      <w:autoSpaceDE w:val="0"/>
      <w:autoSpaceDN w:val="0"/>
      <w:adjustRightInd w:val="0"/>
      <w:spacing w:after="0" w:line="240" w:lineRule="auto"/>
    </w:pPr>
    <w:rPr>
      <w:color w:val="000000"/>
      <w:sz w:val="24"/>
      <w:szCs w:val="24"/>
    </w:rPr>
  </w:style>
  <w:style w:type="paragraph" w:customStyle="1" w:styleId="Body">
    <w:name w:val="Body"/>
    <w:rsid w:val="003C72F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23518E"/>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50DDA"/>
    <w:rPr>
      <w:b/>
      <w:bCs/>
    </w:rPr>
  </w:style>
  <w:style w:type="character" w:customStyle="1" w:styleId="CommentSubjectChar">
    <w:name w:val="Comment Subject Char"/>
    <w:basedOn w:val="CommentTextChar"/>
    <w:link w:val="CommentSubject"/>
    <w:uiPriority w:val="99"/>
    <w:semiHidden/>
    <w:rsid w:val="00250DDA"/>
    <w:rPr>
      <w:b/>
      <w:bCs/>
      <w:sz w:val="20"/>
      <w:szCs w:val="20"/>
    </w:rPr>
  </w:style>
  <w:style w:type="paragraph" w:styleId="NormalWeb">
    <w:name w:val="Normal (Web)"/>
    <w:basedOn w:val="Normal"/>
    <w:uiPriority w:val="99"/>
    <w:semiHidden/>
    <w:unhideWhenUsed/>
    <w:rsid w:val="00481A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337F5"/>
    <w:pPr>
      <w:spacing w:after="0" w:line="240" w:lineRule="auto"/>
    </w:pPr>
  </w:style>
  <w:style w:type="character" w:customStyle="1" w:styleId="s8">
    <w:name w:val="s8"/>
    <w:basedOn w:val="DefaultParagraphFont"/>
    <w:rsid w:val="00B90687"/>
  </w:style>
  <w:style w:type="character" w:customStyle="1" w:styleId="s17">
    <w:name w:val="s17"/>
    <w:basedOn w:val="DefaultParagraphFont"/>
    <w:rsid w:val="00C42B46"/>
  </w:style>
  <w:style w:type="character" w:customStyle="1" w:styleId="s23">
    <w:name w:val="s23"/>
    <w:basedOn w:val="DefaultParagraphFont"/>
    <w:rsid w:val="00C4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670">
      <w:bodyDiv w:val="1"/>
      <w:marLeft w:val="0"/>
      <w:marRight w:val="0"/>
      <w:marTop w:val="0"/>
      <w:marBottom w:val="0"/>
      <w:divBdr>
        <w:top w:val="none" w:sz="0" w:space="0" w:color="auto"/>
        <w:left w:val="none" w:sz="0" w:space="0" w:color="auto"/>
        <w:bottom w:val="none" w:sz="0" w:space="0" w:color="auto"/>
        <w:right w:val="none" w:sz="0" w:space="0" w:color="auto"/>
      </w:divBdr>
    </w:div>
    <w:div w:id="112751198">
      <w:bodyDiv w:val="1"/>
      <w:marLeft w:val="0"/>
      <w:marRight w:val="0"/>
      <w:marTop w:val="0"/>
      <w:marBottom w:val="0"/>
      <w:divBdr>
        <w:top w:val="none" w:sz="0" w:space="0" w:color="auto"/>
        <w:left w:val="none" w:sz="0" w:space="0" w:color="auto"/>
        <w:bottom w:val="none" w:sz="0" w:space="0" w:color="auto"/>
        <w:right w:val="none" w:sz="0" w:space="0" w:color="auto"/>
      </w:divBdr>
    </w:div>
    <w:div w:id="121579316">
      <w:bodyDiv w:val="1"/>
      <w:marLeft w:val="0"/>
      <w:marRight w:val="0"/>
      <w:marTop w:val="0"/>
      <w:marBottom w:val="0"/>
      <w:divBdr>
        <w:top w:val="none" w:sz="0" w:space="0" w:color="auto"/>
        <w:left w:val="none" w:sz="0" w:space="0" w:color="auto"/>
        <w:bottom w:val="none" w:sz="0" w:space="0" w:color="auto"/>
        <w:right w:val="none" w:sz="0" w:space="0" w:color="auto"/>
      </w:divBdr>
    </w:div>
    <w:div w:id="147718403">
      <w:bodyDiv w:val="1"/>
      <w:marLeft w:val="0"/>
      <w:marRight w:val="0"/>
      <w:marTop w:val="0"/>
      <w:marBottom w:val="0"/>
      <w:divBdr>
        <w:top w:val="none" w:sz="0" w:space="0" w:color="auto"/>
        <w:left w:val="none" w:sz="0" w:space="0" w:color="auto"/>
        <w:bottom w:val="none" w:sz="0" w:space="0" w:color="auto"/>
        <w:right w:val="none" w:sz="0" w:space="0" w:color="auto"/>
      </w:divBdr>
    </w:div>
    <w:div w:id="182592391">
      <w:bodyDiv w:val="1"/>
      <w:marLeft w:val="0"/>
      <w:marRight w:val="0"/>
      <w:marTop w:val="0"/>
      <w:marBottom w:val="0"/>
      <w:divBdr>
        <w:top w:val="none" w:sz="0" w:space="0" w:color="auto"/>
        <w:left w:val="none" w:sz="0" w:space="0" w:color="auto"/>
        <w:bottom w:val="none" w:sz="0" w:space="0" w:color="auto"/>
        <w:right w:val="none" w:sz="0" w:space="0" w:color="auto"/>
      </w:divBdr>
    </w:div>
    <w:div w:id="197084815">
      <w:bodyDiv w:val="1"/>
      <w:marLeft w:val="0"/>
      <w:marRight w:val="0"/>
      <w:marTop w:val="0"/>
      <w:marBottom w:val="0"/>
      <w:divBdr>
        <w:top w:val="none" w:sz="0" w:space="0" w:color="auto"/>
        <w:left w:val="none" w:sz="0" w:space="0" w:color="auto"/>
        <w:bottom w:val="none" w:sz="0" w:space="0" w:color="auto"/>
        <w:right w:val="none" w:sz="0" w:space="0" w:color="auto"/>
      </w:divBdr>
    </w:div>
    <w:div w:id="221912260">
      <w:bodyDiv w:val="1"/>
      <w:marLeft w:val="0"/>
      <w:marRight w:val="0"/>
      <w:marTop w:val="0"/>
      <w:marBottom w:val="0"/>
      <w:divBdr>
        <w:top w:val="none" w:sz="0" w:space="0" w:color="auto"/>
        <w:left w:val="none" w:sz="0" w:space="0" w:color="auto"/>
        <w:bottom w:val="none" w:sz="0" w:space="0" w:color="auto"/>
        <w:right w:val="none" w:sz="0" w:space="0" w:color="auto"/>
      </w:divBdr>
    </w:div>
    <w:div w:id="240793032">
      <w:bodyDiv w:val="1"/>
      <w:marLeft w:val="0"/>
      <w:marRight w:val="0"/>
      <w:marTop w:val="0"/>
      <w:marBottom w:val="0"/>
      <w:divBdr>
        <w:top w:val="none" w:sz="0" w:space="0" w:color="auto"/>
        <w:left w:val="none" w:sz="0" w:space="0" w:color="auto"/>
        <w:bottom w:val="none" w:sz="0" w:space="0" w:color="auto"/>
        <w:right w:val="none" w:sz="0" w:space="0" w:color="auto"/>
      </w:divBdr>
    </w:div>
    <w:div w:id="243536902">
      <w:bodyDiv w:val="1"/>
      <w:marLeft w:val="0"/>
      <w:marRight w:val="0"/>
      <w:marTop w:val="0"/>
      <w:marBottom w:val="0"/>
      <w:divBdr>
        <w:top w:val="none" w:sz="0" w:space="0" w:color="auto"/>
        <w:left w:val="none" w:sz="0" w:space="0" w:color="auto"/>
        <w:bottom w:val="none" w:sz="0" w:space="0" w:color="auto"/>
        <w:right w:val="none" w:sz="0" w:space="0" w:color="auto"/>
      </w:divBdr>
    </w:div>
    <w:div w:id="259605025">
      <w:bodyDiv w:val="1"/>
      <w:marLeft w:val="0"/>
      <w:marRight w:val="0"/>
      <w:marTop w:val="0"/>
      <w:marBottom w:val="0"/>
      <w:divBdr>
        <w:top w:val="none" w:sz="0" w:space="0" w:color="auto"/>
        <w:left w:val="none" w:sz="0" w:space="0" w:color="auto"/>
        <w:bottom w:val="none" w:sz="0" w:space="0" w:color="auto"/>
        <w:right w:val="none" w:sz="0" w:space="0" w:color="auto"/>
      </w:divBdr>
    </w:div>
    <w:div w:id="434902864">
      <w:bodyDiv w:val="1"/>
      <w:marLeft w:val="0"/>
      <w:marRight w:val="0"/>
      <w:marTop w:val="0"/>
      <w:marBottom w:val="0"/>
      <w:divBdr>
        <w:top w:val="none" w:sz="0" w:space="0" w:color="auto"/>
        <w:left w:val="none" w:sz="0" w:space="0" w:color="auto"/>
        <w:bottom w:val="none" w:sz="0" w:space="0" w:color="auto"/>
        <w:right w:val="none" w:sz="0" w:space="0" w:color="auto"/>
      </w:divBdr>
    </w:div>
    <w:div w:id="504904913">
      <w:bodyDiv w:val="1"/>
      <w:marLeft w:val="0"/>
      <w:marRight w:val="0"/>
      <w:marTop w:val="0"/>
      <w:marBottom w:val="0"/>
      <w:divBdr>
        <w:top w:val="none" w:sz="0" w:space="0" w:color="auto"/>
        <w:left w:val="none" w:sz="0" w:space="0" w:color="auto"/>
        <w:bottom w:val="none" w:sz="0" w:space="0" w:color="auto"/>
        <w:right w:val="none" w:sz="0" w:space="0" w:color="auto"/>
      </w:divBdr>
    </w:div>
    <w:div w:id="533689941">
      <w:bodyDiv w:val="1"/>
      <w:marLeft w:val="0"/>
      <w:marRight w:val="0"/>
      <w:marTop w:val="0"/>
      <w:marBottom w:val="0"/>
      <w:divBdr>
        <w:top w:val="none" w:sz="0" w:space="0" w:color="auto"/>
        <w:left w:val="none" w:sz="0" w:space="0" w:color="auto"/>
        <w:bottom w:val="none" w:sz="0" w:space="0" w:color="auto"/>
        <w:right w:val="none" w:sz="0" w:space="0" w:color="auto"/>
      </w:divBdr>
    </w:div>
    <w:div w:id="576940792">
      <w:bodyDiv w:val="1"/>
      <w:marLeft w:val="0"/>
      <w:marRight w:val="0"/>
      <w:marTop w:val="0"/>
      <w:marBottom w:val="0"/>
      <w:divBdr>
        <w:top w:val="none" w:sz="0" w:space="0" w:color="auto"/>
        <w:left w:val="none" w:sz="0" w:space="0" w:color="auto"/>
        <w:bottom w:val="none" w:sz="0" w:space="0" w:color="auto"/>
        <w:right w:val="none" w:sz="0" w:space="0" w:color="auto"/>
      </w:divBdr>
    </w:div>
    <w:div w:id="578757364">
      <w:bodyDiv w:val="1"/>
      <w:marLeft w:val="0"/>
      <w:marRight w:val="0"/>
      <w:marTop w:val="0"/>
      <w:marBottom w:val="0"/>
      <w:divBdr>
        <w:top w:val="none" w:sz="0" w:space="0" w:color="auto"/>
        <w:left w:val="none" w:sz="0" w:space="0" w:color="auto"/>
        <w:bottom w:val="none" w:sz="0" w:space="0" w:color="auto"/>
        <w:right w:val="none" w:sz="0" w:space="0" w:color="auto"/>
      </w:divBdr>
    </w:div>
    <w:div w:id="595014508">
      <w:bodyDiv w:val="1"/>
      <w:marLeft w:val="0"/>
      <w:marRight w:val="0"/>
      <w:marTop w:val="0"/>
      <w:marBottom w:val="0"/>
      <w:divBdr>
        <w:top w:val="none" w:sz="0" w:space="0" w:color="auto"/>
        <w:left w:val="none" w:sz="0" w:space="0" w:color="auto"/>
        <w:bottom w:val="none" w:sz="0" w:space="0" w:color="auto"/>
        <w:right w:val="none" w:sz="0" w:space="0" w:color="auto"/>
      </w:divBdr>
    </w:div>
    <w:div w:id="605775334">
      <w:bodyDiv w:val="1"/>
      <w:marLeft w:val="0"/>
      <w:marRight w:val="0"/>
      <w:marTop w:val="0"/>
      <w:marBottom w:val="0"/>
      <w:divBdr>
        <w:top w:val="none" w:sz="0" w:space="0" w:color="auto"/>
        <w:left w:val="none" w:sz="0" w:space="0" w:color="auto"/>
        <w:bottom w:val="none" w:sz="0" w:space="0" w:color="auto"/>
        <w:right w:val="none" w:sz="0" w:space="0" w:color="auto"/>
      </w:divBdr>
    </w:div>
    <w:div w:id="752552306">
      <w:bodyDiv w:val="1"/>
      <w:marLeft w:val="0"/>
      <w:marRight w:val="0"/>
      <w:marTop w:val="0"/>
      <w:marBottom w:val="0"/>
      <w:divBdr>
        <w:top w:val="none" w:sz="0" w:space="0" w:color="auto"/>
        <w:left w:val="none" w:sz="0" w:space="0" w:color="auto"/>
        <w:bottom w:val="none" w:sz="0" w:space="0" w:color="auto"/>
        <w:right w:val="none" w:sz="0" w:space="0" w:color="auto"/>
      </w:divBdr>
    </w:div>
    <w:div w:id="773017755">
      <w:bodyDiv w:val="1"/>
      <w:marLeft w:val="0"/>
      <w:marRight w:val="0"/>
      <w:marTop w:val="0"/>
      <w:marBottom w:val="0"/>
      <w:divBdr>
        <w:top w:val="none" w:sz="0" w:space="0" w:color="auto"/>
        <w:left w:val="none" w:sz="0" w:space="0" w:color="auto"/>
        <w:bottom w:val="none" w:sz="0" w:space="0" w:color="auto"/>
        <w:right w:val="none" w:sz="0" w:space="0" w:color="auto"/>
      </w:divBdr>
    </w:div>
    <w:div w:id="824785510">
      <w:bodyDiv w:val="1"/>
      <w:marLeft w:val="0"/>
      <w:marRight w:val="0"/>
      <w:marTop w:val="0"/>
      <w:marBottom w:val="0"/>
      <w:divBdr>
        <w:top w:val="none" w:sz="0" w:space="0" w:color="auto"/>
        <w:left w:val="none" w:sz="0" w:space="0" w:color="auto"/>
        <w:bottom w:val="none" w:sz="0" w:space="0" w:color="auto"/>
        <w:right w:val="none" w:sz="0" w:space="0" w:color="auto"/>
      </w:divBdr>
    </w:div>
    <w:div w:id="842208250">
      <w:bodyDiv w:val="1"/>
      <w:marLeft w:val="0"/>
      <w:marRight w:val="0"/>
      <w:marTop w:val="0"/>
      <w:marBottom w:val="0"/>
      <w:divBdr>
        <w:top w:val="none" w:sz="0" w:space="0" w:color="auto"/>
        <w:left w:val="none" w:sz="0" w:space="0" w:color="auto"/>
        <w:bottom w:val="none" w:sz="0" w:space="0" w:color="auto"/>
        <w:right w:val="none" w:sz="0" w:space="0" w:color="auto"/>
      </w:divBdr>
    </w:div>
    <w:div w:id="879903097">
      <w:bodyDiv w:val="1"/>
      <w:marLeft w:val="0"/>
      <w:marRight w:val="0"/>
      <w:marTop w:val="0"/>
      <w:marBottom w:val="0"/>
      <w:divBdr>
        <w:top w:val="none" w:sz="0" w:space="0" w:color="auto"/>
        <w:left w:val="none" w:sz="0" w:space="0" w:color="auto"/>
        <w:bottom w:val="none" w:sz="0" w:space="0" w:color="auto"/>
        <w:right w:val="none" w:sz="0" w:space="0" w:color="auto"/>
      </w:divBdr>
    </w:div>
    <w:div w:id="907811569">
      <w:bodyDiv w:val="1"/>
      <w:marLeft w:val="0"/>
      <w:marRight w:val="0"/>
      <w:marTop w:val="0"/>
      <w:marBottom w:val="0"/>
      <w:divBdr>
        <w:top w:val="none" w:sz="0" w:space="0" w:color="auto"/>
        <w:left w:val="none" w:sz="0" w:space="0" w:color="auto"/>
        <w:bottom w:val="none" w:sz="0" w:space="0" w:color="auto"/>
        <w:right w:val="none" w:sz="0" w:space="0" w:color="auto"/>
      </w:divBdr>
    </w:div>
    <w:div w:id="1040282247">
      <w:bodyDiv w:val="1"/>
      <w:marLeft w:val="0"/>
      <w:marRight w:val="0"/>
      <w:marTop w:val="0"/>
      <w:marBottom w:val="0"/>
      <w:divBdr>
        <w:top w:val="none" w:sz="0" w:space="0" w:color="auto"/>
        <w:left w:val="none" w:sz="0" w:space="0" w:color="auto"/>
        <w:bottom w:val="none" w:sz="0" w:space="0" w:color="auto"/>
        <w:right w:val="none" w:sz="0" w:space="0" w:color="auto"/>
      </w:divBdr>
    </w:div>
    <w:div w:id="1080372344">
      <w:bodyDiv w:val="1"/>
      <w:marLeft w:val="0"/>
      <w:marRight w:val="0"/>
      <w:marTop w:val="0"/>
      <w:marBottom w:val="0"/>
      <w:divBdr>
        <w:top w:val="none" w:sz="0" w:space="0" w:color="auto"/>
        <w:left w:val="none" w:sz="0" w:space="0" w:color="auto"/>
        <w:bottom w:val="none" w:sz="0" w:space="0" w:color="auto"/>
        <w:right w:val="none" w:sz="0" w:space="0" w:color="auto"/>
      </w:divBdr>
    </w:div>
    <w:div w:id="1156992056">
      <w:bodyDiv w:val="1"/>
      <w:marLeft w:val="0"/>
      <w:marRight w:val="0"/>
      <w:marTop w:val="0"/>
      <w:marBottom w:val="0"/>
      <w:divBdr>
        <w:top w:val="none" w:sz="0" w:space="0" w:color="auto"/>
        <w:left w:val="none" w:sz="0" w:space="0" w:color="auto"/>
        <w:bottom w:val="none" w:sz="0" w:space="0" w:color="auto"/>
        <w:right w:val="none" w:sz="0" w:space="0" w:color="auto"/>
      </w:divBdr>
    </w:div>
    <w:div w:id="1208370098">
      <w:bodyDiv w:val="1"/>
      <w:marLeft w:val="0"/>
      <w:marRight w:val="0"/>
      <w:marTop w:val="0"/>
      <w:marBottom w:val="0"/>
      <w:divBdr>
        <w:top w:val="none" w:sz="0" w:space="0" w:color="auto"/>
        <w:left w:val="none" w:sz="0" w:space="0" w:color="auto"/>
        <w:bottom w:val="none" w:sz="0" w:space="0" w:color="auto"/>
        <w:right w:val="none" w:sz="0" w:space="0" w:color="auto"/>
      </w:divBdr>
    </w:div>
    <w:div w:id="1241451909">
      <w:bodyDiv w:val="1"/>
      <w:marLeft w:val="0"/>
      <w:marRight w:val="0"/>
      <w:marTop w:val="0"/>
      <w:marBottom w:val="0"/>
      <w:divBdr>
        <w:top w:val="none" w:sz="0" w:space="0" w:color="auto"/>
        <w:left w:val="none" w:sz="0" w:space="0" w:color="auto"/>
        <w:bottom w:val="none" w:sz="0" w:space="0" w:color="auto"/>
        <w:right w:val="none" w:sz="0" w:space="0" w:color="auto"/>
      </w:divBdr>
    </w:div>
    <w:div w:id="1254245397">
      <w:bodyDiv w:val="1"/>
      <w:marLeft w:val="0"/>
      <w:marRight w:val="0"/>
      <w:marTop w:val="0"/>
      <w:marBottom w:val="0"/>
      <w:divBdr>
        <w:top w:val="none" w:sz="0" w:space="0" w:color="auto"/>
        <w:left w:val="none" w:sz="0" w:space="0" w:color="auto"/>
        <w:bottom w:val="none" w:sz="0" w:space="0" w:color="auto"/>
        <w:right w:val="none" w:sz="0" w:space="0" w:color="auto"/>
      </w:divBdr>
    </w:div>
    <w:div w:id="1255476527">
      <w:bodyDiv w:val="1"/>
      <w:marLeft w:val="0"/>
      <w:marRight w:val="0"/>
      <w:marTop w:val="0"/>
      <w:marBottom w:val="0"/>
      <w:divBdr>
        <w:top w:val="none" w:sz="0" w:space="0" w:color="auto"/>
        <w:left w:val="none" w:sz="0" w:space="0" w:color="auto"/>
        <w:bottom w:val="none" w:sz="0" w:space="0" w:color="auto"/>
        <w:right w:val="none" w:sz="0" w:space="0" w:color="auto"/>
      </w:divBdr>
    </w:div>
    <w:div w:id="1274508552">
      <w:bodyDiv w:val="1"/>
      <w:marLeft w:val="0"/>
      <w:marRight w:val="0"/>
      <w:marTop w:val="0"/>
      <w:marBottom w:val="0"/>
      <w:divBdr>
        <w:top w:val="none" w:sz="0" w:space="0" w:color="auto"/>
        <w:left w:val="none" w:sz="0" w:space="0" w:color="auto"/>
        <w:bottom w:val="none" w:sz="0" w:space="0" w:color="auto"/>
        <w:right w:val="none" w:sz="0" w:space="0" w:color="auto"/>
      </w:divBdr>
    </w:div>
    <w:div w:id="1342858141">
      <w:bodyDiv w:val="1"/>
      <w:marLeft w:val="0"/>
      <w:marRight w:val="0"/>
      <w:marTop w:val="0"/>
      <w:marBottom w:val="0"/>
      <w:divBdr>
        <w:top w:val="none" w:sz="0" w:space="0" w:color="auto"/>
        <w:left w:val="none" w:sz="0" w:space="0" w:color="auto"/>
        <w:bottom w:val="none" w:sz="0" w:space="0" w:color="auto"/>
        <w:right w:val="none" w:sz="0" w:space="0" w:color="auto"/>
      </w:divBdr>
    </w:div>
    <w:div w:id="1434743101">
      <w:bodyDiv w:val="1"/>
      <w:marLeft w:val="0"/>
      <w:marRight w:val="0"/>
      <w:marTop w:val="0"/>
      <w:marBottom w:val="0"/>
      <w:divBdr>
        <w:top w:val="none" w:sz="0" w:space="0" w:color="auto"/>
        <w:left w:val="none" w:sz="0" w:space="0" w:color="auto"/>
        <w:bottom w:val="none" w:sz="0" w:space="0" w:color="auto"/>
        <w:right w:val="none" w:sz="0" w:space="0" w:color="auto"/>
      </w:divBdr>
    </w:div>
    <w:div w:id="1509638836">
      <w:bodyDiv w:val="1"/>
      <w:marLeft w:val="0"/>
      <w:marRight w:val="0"/>
      <w:marTop w:val="0"/>
      <w:marBottom w:val="0"/>
      <w:divBdr>
        <w:top w:val="none" w:sz="0" w:space="0" w:color="auto"/>
        <w:left w:val="none" w:sz="0" w:space="0" w:color="auto"/>
        <w:bottom w:val="none" w:sz="0" w:space="0" w:color="auto"/>
        <w:right w:val="none" w:sz="0" w:space="0" w:color="auto"/>
      </w:divBdr>
    </w:div>
    <w:div w:id="1532187875">
      <w:bodyDiv w:val="1"/>
      <w:marLeft w:val="0"/>
      <w:marRight w:val="0"/>
      <w:marTop w:val="0"/>
      <w:marBottom w:val="0"/>
      <w:divBdr>
        <w:top w:val="none" w:sz="0" w:space="0" w:color="auto"/>
        <w:left w:val="none" w:sz="0" w:space="0" w:color="auto"/>
        <w:bottom w:val="none" w:sz="0" w:space="0" w:color="auto"/>
        <w:right w:val="none" w:sz="0" w:space="0" w:color="auto"/>
      </w:divBdr>
    </w:div>
    <w:div w:id="1533301806">
      <w:bodyDiv w:val="1"/>
      <w:marLeft w:val="0"/>
      <w:marRight w:val="0"/>
      <w:marTop w:val="0"/>
      <w:marBottom w:val="0"/>
      <w:divBdr>
        <w:top w:val="none" w:sz="0" w:space="0" w:color="auto"/>
        <w:left w:val="none" w:sz="0" w:space="0" w:color="auto"/>
        <w:bottom w:val="none" w:sz="0" w:space="0" w:color="auto"/>
        <w:right w:val="none" w:sz="0" w:space="0" w:color="auto"/>
      </w:divBdr>
    </w:div>
    <w:div w:id="1585991420">
      <w:bodyDiv w:val="1"/>
      <w:marLeft w:val="0"/>
      <w:marRight w:val="0"/>
      <w:marTop w:val="0"/>
      <w:marBottom w:val="0"/>
      <w:divBdr>
        <w:top w:val="none" w:sz="0" w:space="0" w:color="auto"/>
        <w:left w:val="none" w:sz="0" w:space="0" w:color="auto"/>
        <w:bottom w:val="none" w:sz="0" w:space="0" w:color="auto"/>
        <w:right w:val="none" w:sz="0" w:space="0" w:color="auto"/>
      </w:divBdr>
    </w:div>
    <w:div w:id="1592198703">
      <w:bodyDiv w:val="1"/>
      <w:marLeft w:val="0"/>
      <w:marRight w:val="0"/>
      <w:marTop w:val="0"/>
      <w:marBottom w:val="0"/>
      <w:divBdr>
        <w:top w:val="none" w:sz="0" w:space="0" w:color="auto"/>
        <w:left w:val="none" w:sz="0" w:space="0" w:color="auto"/>
        <w:bottom w:val="none" w:sz="0" w:space="0" w:color="auto"/>
        <w:right w:val="none" w:sz="0" w:space="0" w:color="auto"/>
      </w:divBdr>
    </w:div>
    <w:div w:id="1614897464">
      <w:bodyDiv w:val="1"/>
      <w:marLeft w:val="0"/>
      <w:marRight w:val="0"/>
      <w:marTop w:val="0"/>
      <w:marBottom w:val="0"/>
      <w:divBdr>
        <w:top w:val="none" w:sz="0" w:space="0" w:color="auto"/>
        <w:left w:val="none" w:sz="0" w:space="0" w:color="auto"/>
        <w:bottom w:val="none" w:sz="0" w:space="0" w:color="auto"/>
        <w:right w:val="none" w:sz="0" w:space="0" w:color="auto"/>
      </w:divBdr>
    </w:div>
    <w:div w:id="1623803033">
      <w:bodyDiv w:val="1"/>
      <w:marLeft w:val="0"/>
      <w:marRight w:val="0"/>
      <w:marTop w:val="0"/>
      <w:marBottom w:val="0"/>
      <w:divBdr>
        <w:top w:val="none" w:sz="0" w:space="0" w:color="auto"/>
        <w:left w:val="none" w:sz="0" w:space="0" w:color="auto"/>
        <w:bottom w:val="none" w:sz="0" w:space="0" w:color="auto"/>
        <w:right w:val="none" w:sz="0" w:space="0" w:color="auto"/>
      </w:divBdr>
    </w:div>
    <w:div w:id="1628898195">
      <w:bodyDiv w:val="1"/>
      <w:marLeft w:val="0"/>
      <w:marRight w:val="0"/>
      <w:marTop w:val="0"/>
      <w:marBottom w:val="0"/>
      <w:divBdr>
        <w:top w:val="none" w:sz="0" w:space="0" w:color="auto"/>
        <w:left w:val="none" w:sz="0" w:space="0" w:color="auto"/>
        <w:bottom w:val="none" w:sz="0" w:space="0" w:color="auto"/>
        <w:right w:val="none" w:sz="0" w:space="0" w:color="auto"/>
      </w:divBdr>
    </w:div>
    <w:div w:id="1767650813">
      <w:bodyDiv w:val="1"/>
      <w:marLeft w:val="0"/>
      <w:marRight w:val="0"/>
      <w:marTop w:val="0"/>
      <w:marBottom w:val="0"/>
      <w:divBdr>
        <w:top w:val="none" w:sz="0" w:space="0" w:color="auto"/>
        <w:left w:val="none" w:sz="0" w:space="0" w:color="auto"/>
        <w:bottom w:val="none" w:sz="0" w:space="0" w:color="auto"/>
        <w:right w:val="none" w:sz="0" w:space="0" w:color="auto"/>
      </w:divBdr>
    </w:div>
    <w:div w:id="1776637735">
      <w:bodyDiv w:val="1"/>
      <w:marLeft w:val="0"/>
      <w:marRight w:val="0"/>
      <w:marTop w:val="0"/>
      <w:marBottom w:val="0"/>
      <w:divBdr>
        <w:top w:val="none" w:sz="0" w:space="0" w:color="auto"/>
        <w:left w:val="none" w:sz="0" w:space="0" w:color="auto"/>
        <w:bottom w:val="none" w:sz="0" w:space="0" w:color="auto"/>
        <w:right w:val="none" w:sz="0" w:space="0" w:color="auto"/>
      </w:divBdr>
    </w:div>
    <w:div w:id="1858929114">
      <w:bodyDiv w:val="1"/>
      <w:marLeft w:val="0"/>
      <w:marRight w:val="0"/>
      <w:marTop w:val="0"/>
      <w:marBottom w:val="0"/>
      <w:divBdr>
        <w:top w:val="none" w:sz="0" w:space="0" w:color="auto"/>
        <w:left w:val="none" w:sz="0" w:space="0" w:color="auto"/>
        <w:bottom w:val="none" w:sz="0" w:space="0" w:color="auto"/>
        <w:right w:val="none" w:sz="0" w:space="0" w:color="auto"/>
      </w:divBdr>
    </w:div>
    <w:div w:id="2009600957">
      <w:bodyDiv w:val="1"/>
      <w:marLeft w:val="0"/>
      <w:marRight w:val="0"/>
      <w:marTop w:val="0"/>
      <w:marBottom w:val="0"/>
      <w:divBdr>
        <w:top w:val="none" w:sz="0" w:space="0" w:color="auto"/>
        <w:left w:val="none" w:sz="0" w:space="0" w:color="auto"/>
        <w:bottom w:val="none" w:sz="0" w:space="0" w:color="auto"/>
        <w:right w:val="none" w:sz="0" w:space="0" w:color="auto"/>
      </w:divBdr>
    </w:div>
    <w:div w:id="21020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2017-07_Beyond%20Brexit%20-%20LGA%20Discussion%20%28FINAL%29_0.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x-apple-data-detectors://6" TargetMode="External"/><Relationship Id="rId17" Type="http://schemas.openxmlformats.org/officeDocument/2006/relationships/hyperlink" Target="mailto:Sarah.pickup@local.gov.uk" TargetMode="External"/><Relationship Id="rId2" Type="http://schemas.openxmlformats.org/officeDocument/2006/relationships/customXml" Target="../customXml/item2.xml"/><Relationship Id="rId16" Type="http://schemas.openxmlformats.org/officeDocument/2006/relationships/hyperlink" Target="https://parliamentlive.tv/Event/Index/508beb46-eb61-4071-951d-20b3c9dd5d8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Appeals%20loss%20consultation.pdf" TargetMode="External"/><Relationship Id="rId5" Type="http://schemas.openxmlformats.org/officeDocument/2006/relationships/numbering" Target="numbering.xml"/><Relationship Id="rId15" Type="http://schemas.openxmlformats.org/officeDocument/2006/relationships/hyperlink" Target="https://www.local.gov.uk/apprenticeship-support-programm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moving-the-conversation-on/brex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Meeting_x0020_date xmlns="24aac9db-ed76-492e-9641-c02304b9c3e9" xsi:nil="true"/>
    <Document_x0020_Type xmlns="ddd5460c-fd9a-4b2f-9b0a-4d83386095b6" xsi:nil="true"/>
    <Work_x0020_Area xmlns="24aac9db-ed76-492e-9641-c02304b9c3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1" ma:contentTypeDescription="Create a new document." ma:contentTypeScope="" ma:versionID="4deba8e073ca73e14ae4d7984b25997c">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b89851efbc2689a1e80413c24148f9a7"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B3646-1F99-48DA-99B7-DA4C1D5B3656}">
  <ds:schemaRefs>
    <ds:schemaRef ds:uri="http://www.w3.org/XML/1998/namespace"/>
    <ds:schemaRef ds:uri="ddd5460c-fd9a-4b2f-9b0a-4d83386095b6"/>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24aac9db-ed76-492e-9641-c02304b9c3e9"/>
    <ds:schemaRef ds:uri="http://schemas.microsoft.com/office/2006/metadata/properties"/>
  </ds:schemaRefs>
</ds:datastoreItem>
</file>

<file path=customXml/itemProps2.xml><?xml version="1.0" encoding="utf-8"?>
<ds:datastoreItem xmlns:ds="http://schemas.openxmlformats.org/officeDocument/2006/customXml" ds:itemID="{C22CBAEB-3FFB-4D64-B39B-C9BCCC4FF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31B03-D61A-4004-8F3E-0D254087AF56}">
  <ds:schemaRefs>
    <ds:schemaRef ds:uri="http://schemas.microsoft.com/sharepoint/v3/contenttype/forms"/>
  </ds:schemaRefs>
</ds:datastoreItem>
</file>

<file path=customXml/itemProps4.xml><?xml version="1.0" encoding="utf-8"?>
<ds:datastoreItem xmlns:ds="http://schemas.openxmlformats.org/officeDocument/2006/customXml" ds:itemID="{CEEA72D2-44D1-4507-B6FC-10592D60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37A65D62</Template>
  <TotalTime>91</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Messenger</dc:creator>
  <cp:keywords/>
  <dc:description/>
  <cp:lastModifiedBy>Thomas French</cp:lastModifiedBy>
  <cp:revision>29</cp:revision>
  <dcterms:created xsi:type="dcterms:W3CDTF">2018-07-11T09:21:00Z</dcterms:created>
  <dcterms:modified xsi:type="dcterms:W3CDTF">2018-07-12T15:23:00Z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0x0101005A6604F8123D014B89E245AD77B9FEDA</vt:lpwstr>
  </property>
  <property fmtid="{D5CDD505-2E9C-101B-9397-08002B2CF9AE}" pid="3" name="Order">
    <vt:r8>100</vt:r8>
  </property>
</Properties>
</file>